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13" w:rsidRPr="003C74A1" w:rsidRDefault="00386354" w:rsidP="00CF267B">
      <w:pPr>
        <w:pStyle w:val="NoSpacing1"/>
        <w:ind w:firstLine="720"/>
        <w:jc w:val="both"/>
        <w:rPr>
          <w:rFonts w:asciiTheme="minorBidi" w:hAnsiTheme="minorBidi"/>
          <w:sz w:val="20"/>
          <w:szCs w:val="20"/>
        </w:rPr>
      </w:pPr>
      <w:r>
        <w:rPr>
          <w:rFonts w:asciiTheme="minorBidi" w:hAnsiTheme="minorBidi"/>
          <w:sz w:val="20"/>
          <w:szCs w:val="20"/>
        </w:rPr>
        <w:t>Paris / Dubai</w:t>
      </w:r>
      <w:r w:rsidR="006D7BFC" w:rsidRPr="003C74A1">
        <w:rPr>
          <w:rFonts w:asciiTheme="minorBidi" w:hAnsiTheme="minorBidi"/>
          <w:sz w:val="20"/>
          <w:szCs w:val="20"/>
        </w:rPr>
        <w:t xml:space="preserve">, </w:t>
      </w:r>
      <w:r w:rsidR="00CF267B" w:rsidRPr="003C74A1">
        <w:rPr>
          <w:rFonts w:asciiTheme="minorBidi" w:hAnsiTheme="minorBidi"/>
          <w:sz w:val="20"/>
          <w:szCs w:val="20"/>
        </w:rPr>
        <w:t>May</w:t>
      </w:r>
      <w:r w:rsidR="003C74A1">
        <w:rPr>
          <w:rFonts w:asciiTheme="minorBidi" w:hAnsiTheme="minorBidi"/>
          <w:sz w:val="20"/>
          <w:szCs w:val="20"/>
        </w:rPr>
        <w:t xml:space="preserve"> </w:t>
      </w:r>
      <w:r w:rsidR="00311996">
        <w:rPr>
          <w:rFonts w:asciiTheme="minorBidi" w:hAnsiTheme="minorBidi"/>
          <w:sz w:val="20"/>
          <w:szCs w:val="20"/>
        </w:rPr>
        <w:t xml:space="preserve">18, </w:t>
      </w:r>
      <w:r w:rsidR="003C74A1">
        <w:rPr>
          <w:rFonts w:asciiTheme="minorBidi" w:hAnsiTheme="minorBidi"/>
          <w:sz w:val="20"/>
          <w:szCs w:val="20"/>
        </w:rPr>
        <w:t>2017</w:t>
      </w:r>
    </w:p>
    <w:p w:rsidR="00111A5D" w:rsidRPr="00462A58" w:rsidRDefault="00111A5D" w:rsidP="004A6167">
      <w:pPr>
        <w:rPr>
          <w:rFonts w:asciiTheme="minorBidi" w:hAnsiTheme="minorBidi" w:cstheme="minorBidi"/>
          <w:b/>
          <w:sz w:val="20"/>
          <w:szCs w:val="20"/>
        </w:rPr>
      </w:pPr>
    </w:p>
    <w:p w:rsidR="007235A9" w:rsidRPr="006D7BFC" w:rsidRDefault="004917BA" w:rsidP="00311996">
      <w:pPr>
        <w:pStyle w:val="NoSpacing1"/>
        <w:ind w:left="720"/>
        <w:jc w:val="center"/>
        <w:rPr>
          <w:rFonts w:asciiTheme="minorBidi" w:hAnsiTheme="minorBidi"/>
          <w:b/>
          <w:sz w:val="26"/>
          <w:szCs w:val="26"/>
          <w:u w:val="single"/>
        </w:rPr>
      </w:pPr>
      <w:r>
        <w:rPr>
          <w:rFonts w:asciiTheme="minorBidi" w:hAnsiTheme="minorBidi"/>
          <w:b/>
          <w:sz w:val="26"/>
          <w:szCs w:val="26"/>
        </w:rPr>
        <w:t xml:space="preserve">New Coface </w:t>
      </w:r>
      <w:r w:rsidR="00311996">
        <w:rPr>
          <w:rFonts w:asciiTheme="minorBidi" w:hAnsiTheme="minorBidi"/>
          <w:b/>
          <w:sz w:val="26"/>
          <w:szCs w:val="26"/>
        </w:rPr>
        <w:t>S</w:t>
      </w:r>
      <w:r>
        <w:rPr>
          <w:rFonts w:asciiTheme="minorBidi" w:hAnsiTheme="minorBidi"/>
          <w:b/>
          <w:sz w:val="26"/>
          <w:szCs w:val="26"/>
        </w:rPr>
        <w:t xml:space="preserve">urvey </w:t>
      </w:r>
      <w:r w:rsidR="00311996">
        <w:rPr>
          <w:rFonts w:asciiTheme="minorBidi" w:hAnsiTheme="minorBidi"/>
          <w:b/>
          <w:sz w:val="26"/>
          <w:szCs w:val="26"/>
        </w:rPr>
        <w:t>S</w:t>
      </w:r>
      <w:r>
        <w:rPr>
          <w:rFonts w:asciiTheme="minorBidi" w:hAnsiTheme="minorBidi"/>
          <w:b/>
          <w:sz w:val="26"/>
          <w:szCs w:val="26"/>
        </w:rPr>
        <w:t xml:space="preserve">hows </w:t>
      </w:r>
      <w:r w:rsidR="00311996">
        <w:rPr>
          <w:rFonts w:asciiTheme="minorBidi" w:hAnsiTheme="minorBidi"/>
          <w:b/>
          <w:sz w:val="26"/>
          <w:szCs w:val="26"/>
        </w:rPr>
        <w:t>O</w:t>
      </w:r>
      <w:r w:rsidR="00EB18D8">
        <w:rPr>
          <w:rFonts w:asciiTheme="minorBidi" w:hAnsiTheme="minorBidi"/>
          <w:b/>
          <w:sz w:val="26"/>
          <w:szCs w:val="26"/>
        </w:rPr>
        <w:t xml:space="preserve">ptimism </w:t>
      </w:r>
      <w:r w:rsidR="00311996">
        <w:rPr>
          <w:rFonts w:asciiTheme="minorBidi" w:hAnsiTheme="minorBidi"/>
          <w:b/>
          <w:sz w:val="26"/>
          <w:szCs w:val="26"/>
        </w:rPr>
        <w:br/>
      </w:r>
      <w:proofErr w:type="gramStart"/>
      <w:r w:rsidR="00311996">
        <w:rPr>
          <w:rFonts w:asciiTheme="minorBidi" w:hAnsiTheme="minorBidi"/>
          <w:b/>
          <w:sz w:val="26"/>
          <w:szCs w:val="26"/>
        </w:rPr>
        <w:t>A</w:t>
      </w:r>
      <w:r w:rsidR="00EB18D8">
        <w:rPr>
          <w:rFonts w:asciiTheme="minorBidi" w:hAnsiTheme="minorBidi"/>
          <w:b/>
          <w:sz w:val="26"/>
          <w:szCs w:val="26"/>
        </w:rPr>
        <w:t>mong</w:t>
      </w:r>
      <w:proofErr w:type="gramEnd"/>
      <w:r w:rsidR="00C24DA7">
        <w:rPr>
          <w:rFonts w:asciiTheme="minorBidi" w:hAnsiTheme="minorBidi"/>
          <w:b/>
          <w:sz w:val="26"/>
          <w:szCs w:val="26"/>
        </w:rPr>
        <w:t xml:space="preserve"> UAE </w:t>
      </w:r>
      <w:r w:rsidR="00311996">
        <w:rPr>
          <w:rFonts w:asciiTheme="minorBidi" w:hAnsiTheme="minorBidi"/>
          <w:b/>
          <w:sz w:val="26"/>
          <w:szCs w:val="26"/>
        </w:rPr>
        <w:t>N</w:t>
      </w:r>
      <w:r w:rsidR="00C24DA7">
        <w:rPr>
          <w:rFonts w:asciiTheme="minorBidi" w:hAnsiTheme="minorBidi"/>
          <w:b/>
          <w:sz w:val="26"/>
          <w:szCs w:val="26"/>
        </w:rPr>
        <w:t xml:space="preserve">on-oil </w:t>
      </w:r>
      <w:r w:rsidR="00311996">
        <w:rPr>
          <w:rFonts w:asciiTheme="minorBidi" w:hAnsiTheme="minorBidi"/>
          <w:b/>
          <w:sz w:val="26"/>
          <w:szCs w:val="26"/>
        </w:rPr>
        <w:t>P</w:t>
      </w:r>
      <w:r w:rsidR="00C24DA7">
        <w:rPr>
          <w:rFonts w:asciiTheme="minorBidi" w:hAnsiTheme="minorBidi"/>
          <w:b/>
          <w:sz w:val="26"/>
          <w:szCs w:val="26"/>
        </w:rPr>
        <w:t xml:space="preserve">rivate </w:t>
      </w:r>
      <w:r w:rsidR="00311996">
        <w:rPr>
          <w:rFonts w:asciiTheme="minorBidi" w:hAnsiTheme="minorBidi"/>
          <w:b/>
          <w:sz w:val="26"/>
          <w:szCs w:val="26"/>
        </w:rPr>
        <w:t>C</w:t>
      </w:r>
      <w:r w:rsidR="00C24DA7">
        <w:rPr>
          <w:rFonts w:asciiTheme="minorBidi" w:hAnsiTheme="minorBidi"/>
          <w:b/>
          <w:sz w:val="26"/>
          <w:szCs w:val="26"/>
        </w:rPr>
        <w:t>ompanies</w:t>
      </w:r>
    </w:p>
    <w:p w:rsidR="006D7BFC" w:rsidRPr="00462A58" w:rsidRDefault="006D7BFC" w:rsidP="004A6167">
      <w:pPr>
        <w:rPr>
          <w:rFonts w:asciiTheme="minorBidi" w:hAnsiTheme="minorBidi" w:cstheme="minorBidi"/>
          <w:b/>
          <w:sz w:val="20"/>
          <w:szCs w:val="20"/>
        </w:rPr>
      </w:pPr>
    </w:p>
    <w:p w:rsidR="00DE625C" w:rsidRPr="00311996" w:rsidRDefault="00B65DE9" w:rsidP="004A6167">
      <w:pPr>
        <w:pStyle w:val="NoSpacing1"/>
        <w:numPr>
          <w:ilvl w:val="0"/>
          <w:numId w:val="2"/>
        </w:numPr>
        <w:ind w:left="1440" w:hanging="306"/>
        <w:jc w:val="both"/>
        <w:rPr>
          <w:rFonts w:asciiTheme="minorBidi" w:hAnsiTheme="minorBidi"/>
          <w:bCs/>
          <w:sz w:val="20"/>
          <w:szCs w:val="20"/>
        </w:rPr>
      </w:pPr>
      <w:r w:rsidRPr="00311996">
        <w:rPr>
          <w:rFonts w:asciiTheme="minorBidi" w:hAnsiTheme="minorBidi"/>
          <w:bCs/>
          <w:sz w:val="20"/>
          <w:szCs w:val="20"/>
        </w:rPr>
        <w:t xml:space="preserve">UAE companies are cautiously positive </w:t>
      </w:r>
    </w:p>
    <w:p w:rsidR="009451AE" w:rsidRPr="00311996" w:rsidRDefault="00B65DE9" w:rsidP="004A6167">
      <w:pPr>
        <w:pStyle w:val="NoSpacing1"/>
        <w:numPr>
          <w:ilvl w:val="0"/>
          <w:numId w:val="2"/>
        </w:numPr>
        <w:tabs>
          <w:tab w:val="left" w:pos="567"/>
        </w:tabs>
        <w:ind w:left="1440" w:hanging="306"/>
        <w:jc w:val="both"/>
        <w:rPr>
          <w:rFonts w:asciiTheme="minorBidi" w:hAnsiTheme="minorBidi"/>
          <w:bCs/>
          <w:sz w:val="20"/>
          <w:szCs w:val="20"/>
        </w:rPr>
      </w:pPr>
      <w:r w:rsidRPr="00311996">
        <w:rPr>
          <w:rFonts w:asciiTheme="minorBidi" w:hAnsiTheme="minorBidi"/>
          <w:bCs/>
          <w:sz w:val="20"/>
          <w:szCs w:val="20"/>
        </w:rPr>
        <w:t xml:space="preserve">43.5% of exporters and 42% of domestic suppliers expect increased profitability, with 52.2% and 59% respectively anticipating an upsurge in sales on the previous year. 39% of exporters forecast improved cash flows. </w:t>
      </w:r>
    </w:p>
    <w:p w:rsidR="009451AE" w:rsidRPr="00311996" w:rsidRDefault="00311996" w:rsidP="004A6167">
      <w:pPr>
        <w:pStyle w:val="NoSpacing1"/>
        <w:numPr>
          <w:ilvl w:val="0"/>
          <w:numId w:val="2"/>
        </w:numPr>
        <w:ind w:left="1440" w:hanging="306"/>
        <w:jc w:val="both"/>
        <w:rPr>
          <w:rFonts w:asciiTheme="minorBidi" w:hAnsiTheme="minorBidi"/>
          <w:bCs/>
          <w:sz w:val="20"/>
          <w:szCs w:val="20"/>
        </w:rPr>
      </w:pPr>
      <w:r>
        <w:rPr>
          <w:rFonts w:asciiTheme="minorBidi" w:hAnsiTheme="minorBidi"/>
          <w:bCs/>
          <w:sz w:val="20"/>
          <w:szCs w:val="20"/>
        </w:rPr>
        <w:t>O</w:t>
      </w:r>
      <w:r w:rsidR="00CF2113" w:rsidRPr="00311996">
        <w:rPr>
          <w:rFonts w:asciiTheme="minorBidi" w:hAnsiTheme="minorBidi"/>
          <w:bCs/>
          <w:sz w:val="20"/>
          <w:szCs w:val="20"/>
        </w:rPr>
        <w:t>utstanding receivables and unpaid invoices accounted for</w:t>
      </w:r>
      <w:r w:rsidR="004917BA" w:rsidRPr="00311996">
        <w:rPr>
          <w:rFonts w:asciiTheme="minorBidi" w:hAnsiTheme="minorBidi"/>
          <w:bCs/>
          <w:sz w:val="20"/>
          <w:szCs w:val="20"/>
        </w:rPr>
        <w:t>, on average,</w:t>
      </w:r>
      <w:r w:rsidR="00CF2113" w:rsidRPr="00311996">
        <w:rPr>
          <w:rFonts w:asciiTheme="minorBidi" w:hAnsiTheme="minorBidi"/>
          <w:bCs/>
          <w:sz w:val="20"/>
          <w:szCs w:val="20"/>
        </w:rPr>
        <w:t xml:space="preserve"> </w:t>
      </w:r>
      <w:r w:rsidR="006C4CDA" w:rsidRPr="00311996">
        <w:rPr>
          <w:rFonts w:asciiTheme="minorBidi" w:hAnsiTheme="minorBidi"/>
          <w:bCs/>
          <w:sz w:val="20"/>
          <w:szCs w:val="20"/>
        </w:rPr>
        <w:t xml:space="preserve">a </w:t>
      </w:r>
      <w:r w:rsidR="00CF2113" w:rsidRPr="00311996">
        <w:rPr>
          <w:rFonts w:asciiTheme="minorBidi" w:hAnsiTheme="minorBidi"/>
          <w:bCs/>
          <w:sz w:val="20"/>
          <w:szCs w:val="20"/>
        </w:rPr>
        <w:t xml:space="preserve">single digit </w:t>
      </w:r>
      <w:r w:rsidR="006C4CDA" w:rsidRPr="00311996">
        <w:rPr>
          <w:rFonts w:asciiTheme="minorBidi" w:hAnsiTheme="minorBidi"/>
          <w:bCs/>
          <w:sz w:val="20"/>
          <w:szCs w:val="20"/>
        </w:rPr>
        <w:t xml:space="preserve">percentage </w:t>
      </w:r>
      <w:r w:rsidR="00CF2113" w:rsidRPr="00311996">
        <w:rPr>
          <w:rFonts w:asciiTheme="minorBidi" w:hAnsiTheme="minorBidi"/>
          <w:bCs/>
          <w:sz w:val="20"/>
          <w:szCs w:val="20"/>
        </w:rPr>
        <w:t xml:space="preserve">of total annual </w:t>
      </w:r>
      <w:r>
        <w:rPr>
          <w:rFonts w:asciiTheme="minorBidi" w:hAnsiTheme="minorBidi"/>
          <w:bCs/>
          <w:sz w:val="20"/>
          <w:szCs w:val="20"/>
        </w:rPr>
        <w:t>sales</w:t>
      </w:r>
      <w:r w:rsidR="00CF2113" w:rsidRPr="00311996">
        <w:rPr>
          <w:rFonts w:asciiTheme="minorBidi" w:hAnsiTheme="minorBidi"/>
          <w:bCs/>
          <w:sz w:val="20"/>
          <w:szCs w:val="20"/>
        </w:rPr>
        <w:t xml:space="preserve"> </w:t>
      </w:r>
    </w:p>
    <w:p w:rsidR="00CF2113" w:rsidRPr="00311996" w:rsidRDefault="00CF2113" w:rsidP="004A6167">
      <w:pPr>
        <w:pStyle w:val="NoSpacing1"/>
        <w:numPr>
          <w:ilvl w:val="0"/>
          <w:numId w:val="2"/>
        </w:numPr>
        <w:ind w:left="1440" w:hanging="306"/>
        <w:jc w:val="both"/>
        <w:rPr>
          <w:rFonts w:asciiTheme="minorBidi" w:hAnsiTheme="minorBidi"/>
          <w:bCs/>
          <w:sz w:val="20"/>
          <w:szCs w:val="20"/>
        </w:rPr>
      </w:pPr>
      <w:r w:rsidRPr="00311996">
        <w:rPr>
          <w:rFonts w:asciiTheme="minorBidi" w:hAnsiTheme="minorBidi"/>
          <w:bCs/>
          <w:sz w:val="20"/>
          <w:szCs w:val="20"/>
        </w:rPr>
        <w:t>Corporate payment term</w:t>
      </w:r>
      <w:r w:rsidR="006C4CDA" w:rsidRPr="00311996">
        <w:rPr>
          <w:rFonts w:asciiTheme="minorBidi" w:hAnsiTheme="minorBidi"/>
          <w:bCs/>
          <w:sz w:val="20"/>
          <w:szCs w:val="20"/>
        </w:rPr>
        <w:t>s</w:t>
      </w:r>
      <w:r w:rsidRPr="00311996">
        <w:rPr>
          <w:rFonts w:asciiTheme="minorBidi" w:hAnsiTheme="minorBidi"/>
          <w:bCs/>
          <w:sz w:val="20"/>
          <w:szCs w:val="20"/>
        </w:rPr>
        <w:t xml:space="preserve"> </w:t>
      </w:r>
      <w:r w:rsidR="006C4CDA" w:rsidRPr="00311996">
        <w:rPr>
          <w:rFonts w:asciiTheme="minorBidi" w:hAnsiTheme="minorBidi"/>
          <w:bCs/>
          <w:sz w:val="20"/>
          <w:szCs w:val="20"/>
        </w:rPr>
        <w:t xml:space="preserve">are </w:t>
      </w:r>
      <w:r w:rsidRPr="00311996">
        <w:rPr>
          <w:rFonts w:asciiTheme="minorBidi" w:hAnsiTheme="minorBidi"/>
          <w:bCs/>
          <w:sz w:val="20"/>
          <w:szCs w:val="20"/>
        </w:rPr>
        <w:t>lengthen</w:t>
      </w:r>
      <w:r w:rsidR="006C4CDA" w:rsidRPr="00311996">
        <w:rPr>
          <w:rFonts w:asciiTheme="minorBidi" w:hAnsiTheme="minorBidi"/>
          <w:bCs/>
          <w:sz w:val="20"/>
          <w:szCs w:val="20"/>
        </w:rPr>
        <w:t xml:space="preserve">ing </w:t>
      </w:r>
    </w:p>
    <w:p w:rsidR="00AB2C86" w:rsidRPr="00311996" w:rsidRDefault="00AB2C86" w:rsidP="004A6167">
      <w:pPr>
        <w:pStyle w:val="NoSpacing1"/>
        <w:numPr>
          <w:ilvl w:val="0"/>
          <w:numId w:val="2"/>
        </w:numPr>
        <w:ind w:left="1440" w:hanging="306"/>
        <w:jc w:val="both"/>
        <w:rPr>
          <w:rFonts w:asciiTheme="minorBidi" w:hAnsiTheme="minorBidi"/>
          <w:bCs/>
          <w:sz w:val="20"/>
          <w:szCs w:val="20"/>
        </w:rPr>
      </w:pPr>
      <w:r w:rsidRPr="00311996">
        <w:rPr>
          <w:rFonts w:asciiTheme="minorBidi" w:hAnsiTheme="minorBidi"/>
          <w:bCs/>
          <w:sz w:val="20"/>
          <w:szCs w:val="20"/>
        </w:rPr>
        <w:t>Domestic suppliers less impacted by the economic slowdown and tight liquidity than exporters</w:t>
      </w:r>
    </w:p>
    <w:p w:rsidR="007235A9" w:rsidRPr="00311996" w:rsidRDefault="007235A9" w:rsidP="004A6167">
      <w:pPr>
        <w:jc w:val="both"/>
        <w:rPr>
          <w:rFonts w:asciiTheme="minorBidi" w:hAnsiTheme="minorBidi" w:cstheme="minorBidi"/>
          <w:sz w:val="20"/>
          <w:szCs w:val="20"/>
        </w:rPr>
      </w:pPr>
    </w:p>
    <w:p w:rsidR="00AB2C86" w:rsidRPr="00910DD7" w:rsidRDefault="00E33CC8" w:rsidP="00AB2C86">
      <w:pPr>
        <w:pStyle w:val="NoSpacing1"/>
        <w:suppressAutoHyphens/>
        <w:spacing w:line="270" w:lineRule="exact"/>
        <w:ind w:left="720"/>
        <w:jc w:val="both"/>
        <w:rPr>
          <w:rFonts w:asciiTheme="minorBidi" w:hAnsiTheme="minorBidi"/>
          <w:sz w:val="20"/>
          <w:szCs w:val="20"/>
        </w:rPr>
      </w:pPr>
      <w:r>
        <w:rPr>
          <w:rFonts w:asciiTheme="minorBidi" w:hAnsiTheme="minorBidi"/>
          <w:sz w:val="20"/>
          <w:szCs w:val="20"/>
        </w:rPr>
        <w:t xml:space="preserve">Coface, </w:t>
      </w:r>
      <w:r w:rsidR="00311996">
        <w:rPr>
          <w:rFonts w:asciiTheme="minorBidi" w:hAnsiTheme="minorBidi"/>
          <w:sz w:val="20"/>
          <w:szCs w:val="20"/>
        </w:rPr>
        <w:t>a</w:t>
      </w:r>
      <w:r>
        <w:rPr>
          <w:rFonts w:asciiTheme="minorBidi" w:hAnsiTheme="minorBidi"/>
          <w:sz w:val="20"/>
          <w:szCs w:val="20"/>
        </w:rPr>
        <w:t xml:space="preserve"> worldwide leader in trade credit management solutions and risk information services, has published </w:t>
      </w:r>
      <w:proofErr w:type="gramStart"/>
      <w:r>
        <w:rPr>
          <w:rFonts w:asciiTheme="minorBidi" w:hAnsiTheme="minorBidi"/>
          <w:sz w:val="20"/>
          <w:szCs w:val="20"/>
        </w:rPr>
        <w:t>its</w:t>
      </w:r>
      <w:proofErr w:type="gramEnd"/>
      <w:r>
        <w:rPr>
          <w:rFonts w:asciiTheme="minorBidi" w:hAnsiTheme="minorBidi"/>
          <w:sz w:val="20"/>
          <w:szCs w:val="20"/>
        </w:rPr>
        <w:t xml:space="preserve"> first-ever Credit Opinion Survey for the UAE region</w:t>
      </w:r>
      <w:r w:rsidR="00AB2C86">
        <w:rPr>
          <w:rFonts w:asciiTheme="minorBidi" w:hAnsiTheme="minorBidi"/>
          <w:sz w:val="20"/>
          <w:szCs w:val="20"/>
        </w:rPr>
        <w:t>,</w:t>
      </w:r>
      <w:r w:rsidR="00AB2C86" w:rsidRPr="00AB2C86">
        <w:rPr>
          <w:rFonts w:asciiTheme="minorBidi" w:hAnsiTheme="minorBidi"/>
          <w:sz w:val="20"/>
          <w:szCs w:val="20"/>
        </w:rPr>
        <w:t xml:space="preserve"> </w:t>
      </w:r>
      <w:r w:rsidR="00AB2C86" w:rsidRPr="006D7BFC">
        <w:rPr>
          <w:rFonts w:asciiTheme="minorBidi" w:hAnsiTheme="minorBidi"/>
          <w:sz w:val="20"/>
          <w:szCs w:val="20"/>
        </w:rPr>
        <w:t xml:space="preserve">which was </w:t>
      </w:r>
      <w:r w:rsidR="00AB2C86">
        <w:rPr>
          <w:rFonts w:asciiTheme="minorBidi" w:hAnsiTheme="minorBidi"/>
          <w:sz w:val="20"/>
          <w:szCs w:val="20"/>
        </w:rPr>
        <w:t>conducted among</w:t>
      </w:r>
      <w:r w:rsidR="00AB2C86" w:rsidRPr="006D7BFC">
        <w:rPr>
          <w:rFonts w:asciiTheme="minorBidi" w:hAnsiTheme="minorBidi"/>
          <w:sz w:val="20"/>
          <w:szCs w:val="20"/>
        </w:rPr>
        <w:t xml:space="preserve"> 136 comp</w:t>
      </w:r>
      <w:r w:rsidR="00AB2C86">
        <w:rPr>
          <w:rFonts w:asciiTheme="minorBidi" w:hAnsiTheme="minorBidi"/>
          <w:sz w:val="20"/>
          <w:szCs w:val="20"/>
        </w:rPr>
        <w:t>anies from 11 different sectors</w:t>
      </w:r>
      <w:r w:rsidR="00AB2C86" w:rsidRPr="006D7BFC">
        <w:rPr>
          <w:rFonts w:asciiTheme="minorBidi" w:hAnsiTheme="minorBidi"/>
          <w:sz w:val="20"/>
          <w:szCs w:val="20"/>
        </w:rPr>
        <w:t xml:space="preserve"> </w:t>
      </w:r>
      <w:r w:rsidR="00AB2C86">
        <w:rPr>
          <w:rFonts w:asciiTheme="minorBidi" w:hAnsiTheme="minorBidi"/>
          <w:sz w:val="20"/>
          <w:szCs w:val="20"/>
        </w:rPr>
        <w:t xml:space="preserve">with the </w:t>
      </w:r>
      <w:r w:rsidR="00AB2C86" w:rsidRPr="006D7BFC">
        <w:rPr>
          <w:rFonts w:asciiTheme="minorBidi" w:hAnsiTheme="minorBidi"/>
          <w:sz w:val="20"/>
          <w:szCs w:val="20"/>
        </w:rPr>
        <w:t>aim</w:t>
      </w:r>
      <w:r w:rsidR="00AB2C86">
        <w:rPr>
          <w:rFonts w:asciiTheme="minorBidi" w:hAnsiTheme="minorBidi"/>
          <w:sz w:val="20"/>
          <w:szCs w:val="20"/>
        </w:rPr>
        <w:t xml:space="preserve"> of u</w:t>
      </w:r>
      <w:r w:rsidR="00AB2C86" w:rsidRPr="00910DD7">
        <w:rPr>
          <w:rFonts w:asciiTheme="minorBidi" w:hAnsiTheme="minorBidi"/>
          <w:sz w:val="20"/>
          <w:szCs w:val="20"/>
        </w:rPr>
        <w:t>nderstand</w:t>
      </w:r>
      <w:r w:rsidR="00AB2C86">
        <w:rPr>
          <w:rFonts w:asciiTheme="minorBidi" w:hAnsiTheme="minorBidi"/>
          <w:sz w:val="20"/>
          <w:szCs w:val="20"/>
        </w:rPr>
        <w:t xml:space="preserve">ing trends and developments in </w:t>
      </w:r>
      <w:r w:rsidR="00AB2C86" w:rsidRPr="00910DD7">
        <w:rPr>
          <w:rFonts w:asciiTheme="minorBidi" w:hAnsiTheme="minorBidi"/>
          <w:sz w:val="20"/>
          <w:szCs w:val="20"/>
        </w:rPr>
        <w:t>corporate payment</w:t>
      </w:r>
      <w:r w:rsidR="00AB2C86">
        <w:rPr>
          <w:rFonts w:asciiTheme="minorBidi" w:hAnsiTheme="minorBidi"/>
          <w:sz w:val="20"/>
          <w:szCs w:val="20"/>
        </w:rPr>
        <w:t>s.</w:t>
      </w:r>
    </w:p>
    <w:p w:rsidR="00AB2C86" w:rsidRDefault="00AB2C86" w:rsidP="004A6167">
      <w:pPr>
        <w:pStyle w:val="NoSpacing1"/>
        <w:suppressAutoHyphens/>
        <w:spacing w:line="270" w:lineRule="exact"/>
        <w:ind w:left="720"/>
        <w:jc w:val="both"/>
        <w:rPr>
          <w:rFonts w:asciiTheme="minorBidi" w:hAnsiTheme="minorBidi"/>
          <w:sz w:val="20"/>
          <w:szCs w:val="20"/>
        </w:rPr>
      </w:pPr>
    </w:p>
    <w:p w:rsidR="00CF2113" w:rsidRPr="00910DD7" w:rsidRDefault="00AB2C86" w:rsidP="004A6167">
      <w:pPr>
        <w:pStyle w:val="NoSpacing1"/>
        <w:suppressAutoHyphens/>
        <w:spacing w:line="270" w:lineRule="exact"/>
        <w:ind w:left="709"/>
        <w:jc w:val="both"/>
        <w:rPr>
          <w:rFonts w:asciiTheme="minorBidi" w:hAnsiTheme="minorBidi"/>
          <w:sz w:val="20"/>
          <w:szCs w:val="20"/>
        </w:rPr>
      </w:pPr>
      <w:r>
        <w:rPr>
          <w:rFonts w:asciiTheme="minorBidi" w:hAnsiTheme="minorBidi"/>
          <w:sz w:val="20"/>
          <w:szCs w:val="20"/>
        </w:rPr>
        <w:t>The survey’s participants reported that p</w:t>
      </w:r>
      <w:r w:rsidRPr="00910DD7">
        <w:rPr>
          <w:rFonts w:asciiTheme="minorBidi" w:hAnsiTheme="minorBidi"/>
          <w:sz w:val="20"/>
          <w:szCs w:val="20"/>
        </w:rPr>
        <w:t xml:space="preserve">ayment terms </w:t>
      </w:r>
      <w:r>
        <w:rPr>
          <w:rFonts w:asciiTheme="minorBidi" w:hAnsiTheme="minorBidi"/>
          <w:sz w:val="20"/>
          <w:szCs w:val="20"/>
        </w:rPr>
        <w:t xml:space="preserve">are </w:t>
      </w:r>
      <w:r w:rsidRPr="00910DD7">
        <w:rPr>
          <w:rFonts w:asciiTheme="minorBidi" w:hAnsiTheme="minorBidi"/>
          <w:sz w:val="20"/>
          <w:szCs w:val="20"/>
        </w:rPr>
        <w:t>lengthen</w:t>
      </w:r>
      <w:r>
        <w:rPr>
          <w:rFonts w:asciiTheme="minorBidi" w:hAnsiTheme="minorBidi"/>
          <w:sz w:val="20"/>
          <w:szCs w:val="20"/>
        </w:rPr>
        <w:t>ing</w:t>
      </w:r>
      <w:r w:rsidRPr="00910DD7">
        <w:rPr>
          <w:rFonts w:asciiTheme="minorBidi" w:hAnsiTheme="minorBidi"/>
          <w:sz w:val="20"/>
          <w:szCs w:val="20"/>
        </w:rPr>
        <w:t>.</w:t>
      </w:r>
      <w:r>
        <w:rPr>
          <w:rFonts w:asciiTheme="minorBidi" w:hAnsiTheme="minorBidi"/>
          <w:sz w:val="20"/>
          <w:szCs w:val="20"/>
        </w:rPr>
        <w:t xml:space="preserve"> </w:t>
      </w:r>
      <w:r w:rsidR="00CF2113" w:rsidRPr="00910DD7">
        <w:rPr>
          <w:rFonts w:asciiTheme="minorBidi" w:hAnsiTheme="minorBidi"/>
          <w:sz w:val="20"/>
          <w:szCs w:val="20"/>
        </w:rPr>
        <w:t>Companies</w:t>
      </w:r>
      <w:r w:rsidR="00211982">
        <w:rPr>
          <w:rFonts w:asciiTheme="minorBidi" w:hAnsiTheme="minorBidi"/>
          <w:sz w:val="20"/>
          <w:szCs w:val="20"/>
        </w:rPr>
        <w:t xml:space="preserve"> have</w:t>
      </w:r>
      <w:r w:rsidR="00CF2113" w:rsidRPr="00910DD7">
        <w:rPr>
          <w:rFonts w:asciiTheme="minorBidi" w:hAnsiTheme="minorBidi"/>
          <w:sz w:val="20"/>
          <w:szCs w:val="20"/>
        </w:rPr>
        <w:t xml:space="preserve"> react</w:t>
      </w:r>
      <w:r w:rsidR="00A618CE">
        <w:rPr>
          <w:rFonts w:asciiTheme="minorBidi" w:hAnsiTheme="minorBidi"/>
          <w:sz w:val="20"/>
          <w:szCs w:val="20"/>
        </w:rPr>
        <w:t>ed</w:t>
      </w:r>
      <w:r w:rsidR="00CF2113" w:rsidRPr="00910DD7">
        <w:rPr>
          <w:rFonts w:asciiTheme="minorBidi" w:hAnsiTheme="minorBidi"/>
          <w:sz w:val="20"/>
          <w:szCs w:val="20"/>
        </w:rPr>
        <w:t xml:space="preserve"> to lower sale volumes</w:t>
      </w:r>
      <w:r w:rsidR="00211982">
        <w:rPr>
          <w:rFonts w:asciiTheme="minorBidi" w:hAnsiTheme="minorBidi"/>
          <w:sz w:val="20"/>
          <w:szCs w:val="20"/>
        </w:rPr>
        <w:t>, stemming from</w:t>
      </w:r>
      <w:r w:rsidR="00A618CE">
        <w:rPr>
          <w:rFonts w:asciiTheme="minorBidi" w:hAnsiTheme="minorBidi"/>
          <w:sz w:val="20"/>
          <w:szCs w:val="20"/>
        </w:rPr>
        <w:t xml:space="preserve"> </w:t>
      </w:r>
      <w:r w:rsidR="004917BA">
        <w:rPr>
          <w:rFonts w:asciiTheme="minorBidi" w:hAnsiTheme="minorBidi"/>
          <w:sz w:val="20"/>
          <w:szCs w:val="20"/>
        </w:rPr>
        <w:t>weaker</w:t>
      </w:r>
      <w:r w:rsidR="00211982">
        <w:rPr>
          <w:rFonts w:asciiTheme="minorBidi" w:hAnsiTheme="minorBidi"/>
          <w:sz w:val="20"/>
          <w:szCs w:val="20"/>
        </w:rPr>
        <w:t xml:space="preserve"> </w:t>
      </w:r>
      <w:r w:rsidR="00A618CE">
        <w:rPr>
          <w:rFonts w:asciiTheme="minorBidi" w:hAnsiTheme="minorBidi"/>
          <w:sz w:val="20"/>
          <w:szCs w:val="20"/>
        </w:rPr>
        <w:t xml:space="preserve">global trade </w:t>
      </w:r>
      <w:r w:rsidR="00CF2113" w:rsidRPr="00910DD7">
        <w:rPr>
          <w:rFonts w:asciiTheme="minorBidi" w:hAnsiTheme="minorBidi"/>
          <w:sz w:val="20"/>
          <w:szCs w:val="20"/>
        </w:rPr>
        <w:t>and tightened liquidity</w:t>
      </w:r>
      <w:r w:rsidR="00211982">
        <w:rPr>
          <w:rFonts w:asciiTheme="minorBidi" w:hAnsiTheme="minorBidi"/>
          <w:sz w:val="20"/>
          <w:szCs w:val="20"/>
        </w:rPr>
        <w:t>,</w:t>
      </w:r>
      <w:r w:rsidR="00A618CE">
        <w:rPr>
          <w:rFonts w:asciiTheme="minorBidi" w:hAnsiTheme="minorBidi"/>
          <w:sz w:val="20"/>
          <w:szCs w:val="20"/>
        </w:rPr>
        <w:t xml:space="preserve"> </w:t>
      </w:r>
      <w:r w:rsidR="00CF2113" w:rsidRPr="00910DD7">
        <w:rPr>
          <w:rFonts w:asciiTheme="minorBidi" w:hAnsiTheme="minorBidi"/>
          <w:sz w:val="20"/>
          <w:szCs w:val="20"/>
        </w:rPr>
        <w:t>by delaying payments.</w:t>
      </w:r>
      <w:r w:rsidR="00A618CE">
        <w:rPr>
          <w:rFonts w:asciiTheme="minorBidi" w:hAnsiTheme="minorBidi"/>
          <w:sz w:val="20"/>
          <w:szCs w:val="20"/>
        </w:rPr>
        <w:t xml:space="preserve"> </w:t>
      </w:r>
      <w:r w:rsidR="00211982">
        <w:rPr>
          <w:rFonts w:asciiTheme="minorBidi" w:hAnsiTheme="minorBidi"/>
          <w:sz w:val="20"/>
          <w:szCs w:val="20"/>
        </w:rPr>
        <w:t>Nevertheless</w:t>
      </w:r>
      <w:r w:rsidR="00CF2113" w:rsidRPr="00910DD7">
        <w:rPr>
          <w:rFonts w:asciiTheme="minorBidi" w:hAnsiTheme="minorBidi"/>
          <w:sz w:val="20"/>
          <w:szCs w:val="20"/>
        </w:rPr>
        <w:t xml:space="preserve">, despite </w:t>
      </w:r>
      <w:r w:rsidR="00211982">
        <w:rPr>
          <w:rFonts w:asciiTheme="minorBidi" w:hAnsiTheme="minorBidi"/>
          <w:sz w:val="20"/>
          <w:szCs w:val="20"/>
        </w:rPr>
        <w:t xml:space="preserve">these </w:t>
      </w:r>
      <w:r w:rsidR="00C332BC">
        <w:rPr>
          <w:rFonts w:asciiTheme="minorBidi" w:hAnsiTheme="minorBidi"/>
          <w:sz w:val="20"/>
          <w:szCs w:val="20"/>
        </w:rPr>
        <w:t>lengthier</w:t>
      </w:r>
      <w:r w:rsidR="00CF2113" w:rsidRPr="00910DD7">
        <w:rPr>
          <w:rFonts w:asciiTheme="minorBidi" w:hAnsiTheme="minorBidi"/>
          <w:sz w:val="20"/>
          <w:szCs w:val="20"/>
        </w:rPr>
        <w:t xml:space="preserve"> payments, </w:t>
      </w:r>
      <w:r w:rsidR="00211982">
        <w:rPr>
          <w:rFonts w:asciiTheme="minorBidi" w:hAnsiTheme="minorBidi"/>
          <w:sz w:val="20"/>
          <w:szCs w:val="20"/>
        </w:rPr>
        <w:t>the majority</w:t>
      </w:r>
      <w:r w:rsidR="00CF2113" w:rsidRPr="00910DD7">
        <w:rPr>
          <w:rFonts w:asciiTheme="minorBidi" w:hAnsiTheme="minorBidi"/>
          <w:sz w:val="20"/>
          <w:szCs w:val="20"/>
        </w:rPr>
        <w:t xml:space="preserve"> of the respondents are optimistic </w:t>
      </w:r>
      <w:r w:rsidR="00311996">
        <w:rPr>
          <w:rFonts w:asciiTheme="minorBidi" w:hAnsiTheme="minorBidi"/>
          <w:sz w:val="20"/>
          <w:szCs w:val="20"/>
        </w:rPr>
        <w:t>about</w:t>
      </w:r>
      <w:r w:rsidR="00CF2113" w:rsidRPr="00910DD7">
        <w:rPr>
          <w:rFonts w:asciiTheme="minorBidi" w:hAnsiTheme="minorBidi"/>
          <w:sz w:val="20"/>
          <w:szCs w:val="20"/>
        </w:rPr>
        <w:t xml:space="preserve"> the future economic outlook </w:t>
      </w:r>
      <w:r w:rsidR="00211982">
        <w:rPr>
          <w:rFonts w:asciiTheme="minorBidi" w:hAnsiTheme="minorBidi"/>
          <w:sz w:val="20"/>
          <w:szCs w:val="20"/>
        </w:rPr>
        <w:t>for</w:t>
      </w:r>
      <w:r w:rsidR="00CF2113" w:rsidRPr="00910DD7">
        <w:rPr>
          <w:rFonts w:asciiTheme="minorBidi" w:hAnsiTheme="minorBidi"/>
          <w:sz w:val="20"/>
          <w:szCs w:val="20"/>
        </w:rPr>
        <w:t xml:space="preserve"> the UAE and GCC region.</w:t>
      </w:r>
    </w:p>
    <w:p w:rsidR="00CF2113" w:rsidRPr="00910DD7" w:rsidRDefault="00CF2113" w:rsidP="004A6167">
      <w:pPr>
        <w:pStyle w:val="NoSpacing1"/>
        <w:suppressAutoHyphens/>
        <w:spacing w:line="270" w:lineRule="exact"/>
        <w:ind w:left="720"/>
        <w:jc w:val="both"/>
        <w:rPr>
          <w:rFonts w:asciiTheme="minorBidi" w:hAnsiTheme="minorBidi"/>
          <w:sz w:val="20"/>
          <w:szCs w:val="20"/>
        </w:rPr>
      </w:pPr>
    </w:p>
    <w:p w:rsidR="00CF2113" w:rsidRPr="006D7BFC" w:rsidRDefault="00CF2113" w:rsidP="004A6167">
      <w:pPr>
        <w:pStyle w:val="NoSpacing1"/>
        <w:suppressAutoHyphens/>
        <w:spacing w:line="270" w:lineRule="exact"/>
        <w:ind w:left="720"/>
        <w:jc w:val="both"/>
        <w:rPr>
          <w:rFonts w:asciiTheme="minorBidi" w:hAnsiTheme="minorBidi"/>
          <w:sz w:val="20"/>
          <w:szCs w:val="20"/>
        </w:rPr>
      </w:pPr>
      <w:r w:rsidRPr="00910DD7">
        <w:rPr>
          <w:rFonts w:asciiTheme="minorBidi" w:hAnsiTheme="minorBidi"/>
          <w:sz w:val="20"/>
          <w:szCs w:val="20"/>
        </w:rPr>
        <w:t>“</w:t>
      </w:r>
      <w:r w:rsidRPr="004A6167">
        <w:rPr>
          <w:rFonts w:asciiTheme="minorBidi" w:hAnsiTheme="minorBidi"/>
          <w:i/>
          <w:sz w:val="20"/>
          <w:szCs w:val="20"/>
        </w:rPr>
        <w:t>Th</w:t>
      </w:r>
      <w:r w:rsidR="00211982" w:rsidRPr="004A6167">
        <w:rPr>
          <w:rFonts w:asciiTheme="minorBidi" w:hAnsiTheme="minorBidi"/>
          <w:i/>
          <w:sz w:val="20"/>
          <w:szCs w:val="20"/>
        </w:rPr>
        <w:t xml:space="preserve">e results of this </w:t>
      </w:r>
      <w:r w:rsidRPr="004A6167">
        <w:rPr>
          <w:rFonts w:asciiTheme="minorBidi" w:hAnsiTheme="minorBidi"/>
          <w:i/>
          <w:sz w:val="20"/>
          <w:szCs w:val="20"/>
        </w:rPr>
        <w:t xml:space="preserve">survey </w:t>
      </w:r>
      <w:r w:rsidR="00211982" w:rsidRPr="004A6167">
        <w:rPr>
          <w:rFonts w:asciiTheme="minorBidi" w:hAnsiTheme="minorBidi"/>
          <w:i/>
          <w:sz w:val="20"/>
          <w:szCs w:val="20"/>
        </w:rPr>
        <w:t>are</w:t>
      </w:r>
      <w:r w:rsidRPr="004A6167">
        <w:rPr>
          <w:rFonts w:asciiTheme="minorBidi" w:hAnsiTheme="minorBidi"/>
          <w:i/>
          <w:sz w:val="20"/>
          <w:szCs w:val="20"/>
        </w:rPr>
        <w:t xml:space="preserve"> very timely, especially now that </w:t>
      </w:r>
      <w:r w:rsidR="00211982" w:rsidRPr="004A6167">
        <w:rPr>
          <w:rFonts w:asciiTheme="minorBidi" w:hAnsiTheme="minorBidi"/>
          <w:i/>
          <w:sz w:val="20"/>
          <w:szCs w:val="20"/>
        </w:rPr>
        <w:t xml:space="preserve">the </w:t>
      </w:r>
      <w:r w:rsidRPr="004A6167">
        <w:rPr>
          <w:rFonts w:asciiTheme="minorBidi" w:hAnsiTheme="minorBidi"/>
          <w:i/>
          <w:sz w:val="20"/>
          <w:szCs w:val="20"/>
        </w:rPr>
        <w:t xml:space="preserve">economy is beginning to inch up again and UAE </w:t>
      </w:r>
      <w:r w:rsidR="005B42DB" w:rsidRPr="004A6167">
        <w:rPr>
          <w:rFonts w:asciiTheme="minorBidi" w:hAnsiTheme="minorBidi"/>
          <w:i/>
          <w:sz w:val="20"/>
          <w:szCs w:val="20"/>
        </w:rPr>
        <w:t>businesses</w:t>
      </w:r>
      <w:r w:rsidRPr="004A6167">
        <w:rPr>
          <w:rFonts w:asciiTheme="minorBidi" w:hAnsiTheme="minorBidi"/>
          <w:i/>
          <w:sz w:val="20"/>
          <w:szCs w:val="20"/>
        </w:rPr>
        <w:t xml:space="preserve"> are looking at maximi</w:t>
      </w:r>
      <w:r w:rsidR="00311996">
        <w:rPr>
          <w:rFonts w:asciiTheme="minorBidi" w:hAnsiTheme="minorBidi"/>
          <w:i/>
          <w:sz w:val="20"/>
          <w:szCs w:val="20"/>
        </w:rPr>
        <w:t>z</w:t>
      </w:r>
      <w:r w:rsidRPr="004A6167">
        <w:rPr>
          <w:rFonts w:asciiTheme="minorBidi" w:hAnsiTheme="minorBidi"/>
          <w:i/>
          <w:sz w:val="20"/>
          <w:szCs w:val="20"/>
        </w:rPr>
        <w:t>ing their competitive leverage this year</w:t>
      </w:r>
      <w:r w:rsidR="00FD5FB9">
        <w:rPr>
          <w:rFonts w:asciiTheme="minorBidi" w:hAnsiTheme="minorBidi"/>
          <w:sz w:val="20"/>
          <w:szCs w:val="20"/>
        </w:rPr>
        <w:t xml:space="preserve">. </w:t>
      </w:r>
      <w:r w:rsidR="00454CA3" w:rsidRPr="004A6167">
        <w:rPr>
          <w:rFonts w:asciiTheme="minorBidi" w:hAnsiTheme="minorBidi"/>
          <w:i/>
          <w:sz w:val="20"/>
          <w:szCs w:val="20"/>
        </w:rPr>
        <w:t xml:space="preserve">The </w:t>
      </w:r>
      <w:r w:rsidR="00F85FEE" w:rsidRPr="004A6167">
        <w:rPr>
          <w:rFonts w:asciiTheme="minorBidi" w:hAnsiTheme="minorBidi"/>
          <w:i/>
          <w:sz w:val="20"/>
          <w:szCs w:val="20"/>
        </w:rPr>
        <w:t>UAE</w:t>
      </w:r>
      <w:r w:rsidR="00211982" w:rsidRPr="004A6167">
        <w:rPr>
          <w:rFonts w:asciiTheme="minorBidi" w:hAnsiTheme="minorBidi"/>
          <w:i/>
          <w:sz w:val="20"/>
          <w:szCs w:val="20"/>
        </w:rPr>
        <w:t>’s</w:t>
      </w:r>
      <w:r w:rsidR="00F85FEE" w:rsidRPr="004A6167">
        <w:rPr>
          <w:rFonts w:asciiTheme="minorBidi" w:hAnsiTheme="minorBidi"/>
          <w:i/>
          <w:sz w:val="20"/>
          <w:szCs w:val="20"/>
        </w:rPr>
        <w:t xml:space="preserve"> </w:t>
      </w:r>
      <w:r w:rsidR="00454CA3" w:rsidRPr="004A6167">
        <w:rPr>
          <w:rFonts w:asciiTheme="minorBidi" w:hAnsiTheme="minorBidi"/>
          <w:i/>
          <w:sz w:val="20"/>
          <w:szCs w:val="20"/>
        </w:rPr>
        <w:t xml:space="preserve">diversified economy </w:t>
      </w:r>
      <w:r w:rsidR="00211982" w:rsidRPr="004A6167">
        <w:rPr>
          <w:rFonts w:asciiTheme="minorBidi" w:hAnsiTheme="minorBidi"/>
          <w:i/>
          <w:sz w:val="20"/>
          <w:szCs w:val="20"/>
        </w:rPr>
        <w:t xml:space="preserve">has helped to mitigate </w:t>
      </w:r>
      <w:r w:rsidR="00454CA3" w:rsidRPr="004A6167">
        <w:rPr>
          <w:rFonts w:asciiTheme="minorBidi" w:hAnsiTheme="minorBidi"/>
          <w:i/>
          <w:sz w:val="20"/>
          <w:szCs w:val="20"/>
        </w:rPr>
        <w:t xml:space="preserve">the </w:t>
      </w:r>
      <w:r w:rsidR="00211982" w:rsidRPr="004A6167">
        <w:rPr>
          <w:rFonts w:asciiTheme="minorBidi" w:hAnsiTheme="minorBidi"/>
          <w:i/>
          <w:sz w:val="20"/>
          <w:szCs w:val="20"/>
        </w:rPr>
        <w:t>effects of the</w:t>
      </w:r>
      <w:r w:rsidR="00454CA3" w:rsidRPr="004A6167">
        <w:rPr>
          <w:rFonts w:asciiTheme="minorBidi" w:hAnsiTheme="minorBidi"/>
          <w:i/>
          <w:sz w:val="20"/>
          <w:szCs w:val="20"/>
        </w:rPr>
        <w:t xml:space="preserve"> oil price decline. The steady growth expected in 20</w:t>
      </w:r>
      <w:r w:rsidR="006878E2" w:rsidRPr="004A6167">
        <w:rPr>
          <w:rFonts w:asciiTheme="minorBidi" w:hAnsiTheme="minorBidi"/>
          <w:i/>
          <w:sz w:val="20"/>
          <w:szCs w:val="20"/>
        </w:rPr>
        <w:t xml:space="preserve">17 will be </w:t>
      </w:r>
      <w:r w:rsidR="00211982" w:rsidRPr="004A6167">
        <w:rPr>
          <w:rFonts w:asciiTheme="minorBidi" w:hAnsiTheme="minorBidi"/>
          <w:i/>
          <w:sz w:val="20"/>
          <w:szCs w:val="20"/>
        </w:rPr>
        <w:t>mainly</w:t>
      </w:r>
      <w:r w:rsidR="006878E2" w:rsidRPr="004A6167">
        <w:rPr>
          <w:rFonts w:asciiTheme="minorBidi" w:hAnsiTheme="minorBidi"/>
          <w:i/>
          <w:sz w:val="20"/>
          <w:szCs w:val="20"/>
        </w:rPr>
        <w:t xml:space="preserve"> driven by non-</w:t>
      </w:r>
      <w:r w:rsidR="00454CA3" w:rsidRPr="004A6167">
        <w:rPr>
          <w:rFonts w:asciiTheme="minorBidi" w:hAnsiTheme="minorBidi"/>
          <w:i/>
          <w:sz w:val="20"/>
          <w:szCs w:val="20"/>
        </w:rPr>
        <w:t>oil foreign trade, private consumption, tourism and new investments for the Dubai Expo 2020</w:t>
      </w:r>
      <w:r w:rsidR="00311996">
        <w:rPr>
          <w:rFonts w:asciiTheme="minorBidi" w:hAnsiTheme="minorBidi"/>
          <w:i/>
          <w:sz w:val="20"/>
          <w:szCs w:val="20"/>
        </w:rPr>
        <w:t>,</w:t>
      </w:r>
      <w:r w:rsidR="00FD5FB9">
        <w:rPr>
          <w:rFonts w:asciiTheme="minorBidi" w:hAnsiTheme="minorBidi"/>
          <w:sz w:val="20"/>
          <w:szCs w:val="20"/>
        </w:rPr>
        <w:t xml:space="preserve">" said </w:t>
      </w:r>
      <w:r w:rsidR="00FD5FB9" w:rsidRPr="00211982">
        <w:rPr>
          <w:rFonts w:asciiTheme="minorBidi" w:hAnsiTheme="minorBidi"/>
          <w:sz w:val="20"/>
          <w:szCs w:val="20"/>
        </w:rPr>
        <w:t xml:space="preserve">Massimo </w:t>
      </w:r>
      <w:proofErr w:type="spellStart"/>
      <w:r w:rsidR="00FD5FB9" w:rsidRPr="00211982">
        <w:rPr>
          <w:rFonts w:asciiTheme="minorBidi" w:hAnsiTheme="minorBidi"/>
          <w:sz w:val="20"/>
          <w:szCs w:val="20"/>
        </w:rPr>
        <w:t>Falcioni</w:t>
      </w:r>
      <w:proofErr w:type="spellEnd"/>
      <w:r w:rsidR="00FD5FB9" w:rsidRPr="00211982">
        <w:rPr>
          <w:rFonts w:asciiTheme="minorBidi" w:hAnsiTheme="minorBidi"/>
          <w:sz w:val="20"/>
          <w:szCs w:val="20"/>
        </w:rPr>
        <w:t>, CEO of Middle East Countries at Coface</w:t>
      </w:r>
      <w:r w:rsidR="00FD5FB9">
        <w:rPr>
          <w:rFonts w:asciiTheme="minorBidi" w:hAnsiTheme="minorBidi"/>
          <w:sz w:val="20"/>
          <w:szCs w:val="20"/>
        </w:rPr>
        <w:t>.</w:t>
      </w:r>
    </w:p>
    <w:p w:rsidR="00CF2113" w:rsidRDefault="00CF2113" w:rsidP="004A6167">
      <w:pPr>
        <w:pStyle w:val="NoSpacing1"/>
        <w:suppressAutoHyphens/>
        <w:spacing w:line="270" w:lineRule="exact"/>
        <w:ind w:left="720"/>
        <w:jc w:val="both"/>
        <w:rPr>
          <w:rFonts w:asciiTheme="minorBidi" w:hAnsiTheme="minorBidi"/>
          <w:sz w:val="20"/>
          <w:szCs w:val="20"/>
        </w:rPr>
      </w:pPr>
    </w:p>
    <w:p w:rsidR="00AB2C86" w:rsidRDefault="00454CA3" w:rsidP="004A6167">
      <w:pPr>
        <w:pStyle w:val="NoSpacing1"/>
        <w:suppressAutoHyphens/>
        <w:spacing w:line="270" w:lineRule="exact"/>
        <w:ind w:left="720"/>
        <w:jc w:val="both"/>
        <w:rPr>
          <w:rFonts w:asciiTheme="minorBidi" w:hAnsiTheme="minorBidi"/>
          <w:b/>
          <w:sz w:val="20"/>
          <w:szCs w:val="20"/>
        </w:rPr>
      </w:pPr>
      <w:r w:rsidRPr="006D7BFC">
        <w:rPr>
          <w:rFonts w:asciiTheme="minorBidi" w:hAnsiTheme="minorBidi"/>
          <w:sz w:val="20"/>
          <w:szCs w:val="20"/>
        </w:rPr>
        <w:t>“</w:t>
      </w:r>
      <w:r w:rsidRPr="004A6167">
        <w:rPr>
          <w:rFonts w:asciiTheme="minorBidi" w:hAnsiTheme="minorBidi"/>
          <w:i/>
          <w:sz w:val="20"/>
          <w:szCs w:val="20"/>
        </w:rPr>
        <w:t>The diversified structure of the UAE</w:t>
      </w:r>
      <w:r w:rsidR="00211982" w:rsidRPr="004A6167">
        <w:rPr>
          <w:rFonts w:asciiTheme="minorBidi" w:hAnsiTheme="minorBidi"/>
          <w:i/>
          <w:sz w:val="20"/>
          <w:szCs w:val="20"/>
        </w:rPr>
        <w:t>’s</w:t>
      </w:r>
      <w:r w:rsidRPr="004A6167">
        <w:rPr>
          <w:rFonts w:asciiTheme="minorBidi" w:hAnsiTheme="minorBidi"/>
          <w:i/>
          <w:sz w:val="20"/>
          <w:szCs w:val="20"/>
        </w:rPr>
        <w:t xml:space="preserve"> economy </w:t>
      </w:r>
      <w:r w:rsidR="00311996">
        <w:rPr>
          <w:rFonts w:asciiTheme="minorBidi" w:hAnsiTheme="minorBidi"/>
          <w:i/>
          <w:sz w:val="20"/>
          <w:szCs w:val="20"/>
        </w:rPr>
        <w:t>means</w:t>
      </w:r>
      <w:r w:rsidR="00211982" w:rsidRPr="004A6167">
        <w:rPr>
          <w:rFonts w:asciiTheme="minorBidi" w:hAnsiTheme="minorBidi"/>
          <w:i/>
          <w:sz w:val="20"/>
          <w:szCs w:val="20"/>
        </w:rPr>
        <w:t xml:space="preserve"> that </w:t>
      </w:r>
      <w:r w:rsidRPr="004A6167">
        <w:rPr>
          <w:rFonts w:asciiTheme="minorBidi" w:hAnsiTheme="minorBidi"/>
          <w:i/>
          <w:sz w:val="20"/>
          <w:szCs w:val="20"/>
        </w:rPr>
        <w:t xml:space="preserve">domestic suppliers </w:t>
      </w:r>
      <w:r w:rsidR="00211982" w:rsidRPr="004A6167">
        <w:rPr>
          <w:rFonts w:asciiTheme="minorBidi" w:hAnsiTheme="minorBidi"/>
          <w:i/>
          <w:sz w:val="20"/>
          <w:szCs w:val="20"/>
        </w:rPr>
        <w:t xml:space="preserve">have been </w:t>
      </w:r>
      <w:r w:rsidRPr="004A6167">
        <w:rPr>
          <w:rFonts w:asciiTheme="minorBidi" w:hAnsiTheme="minorBidi"/>
          <w:i/>
          <w:sz w:val="20"/>
          <w:szCs w:val="20"/>
        </w:rPr>
        <w:t>less impacted by the economic slowdown and tight liquidity conditions than exporters</w:t>
      </w:r>
      <w:r w:rsidR="00211982" w:rsidRPr="004A6167">
        <w:rPr>
          <w:rFonts w:asciiTheme="minorBidi" w:hAnsiTheme="minorBidi"/>
          <w:i/>
          <w:sz w:val="20"/>
          <w:szCs w:val="20"/>
        </w:rPr>
        <w:t>,</w:t>
      </w:r>
      <w:r w:rsidRPr="004A6167">
        <w:rPr>
          <w:rFonts w:asciiTheme="minorBidi" w:hAnsiTheme="minorBidi"/>
          <w:i/>
          <w:sz w:val="20"/>
          <w:szCs w:val="20"/>
        </w:rPr>
        <w:t xml:space="preserve"> which have been affected by the weak recovery in world trade</w:t>
      </w:r>
      <w:r w:rsidR="00311996">
        <w:rPr>
          <w:rFonts w:asciiTheme="minorBidi" w:hAnsiTheme="minorBidi"/>
          <w:i/>
          <w:sz w:val="20"/>
          <w:szCs w:val="20"/>
        </w:rPr>
        <w:t>,</w:t>
      </w:r>
      <w:r w:rsidRPr="004A6167">
        <w:rPr>
          <w:rFonts w:asciiTheme="minorBidi" w:hAnsiTheme="minorBidi"/>
          <w:i/>
          <w:sz w:val="20"/>
          <w:szCs w:val="20"/>
        </w:rPr>
        <w:t>”</w:t>
      </w:r>
      <w:r w:rsidR="00B65960">
        <w:rPr>
          <w:rFonts w:asciiTheme="minorBidi" w:hAnsiTheme="minorBidi"/>
          <w:i/>
          <w:sz w:val="20"/>
          <w:szCs w:val="20"/>
        </w:rPr>
        <w:t xml:space="preserve"> </w:t>
      </w:r>
      <w:r w:rsidR="004917BA" w:rsidRPr="00B65960">
        <w:rPr>
          <w:rFonts w:asciiTheme="minorBidi" w:hAnsiTheme="minorBidi"/>
          <w:sz w:val="20"/>
          <w:szCs w:val="20"/>
        </w:rPr>
        <w:t>said</w:t>
      </w:r>
      <w:r w:rsidR="004917BA">
        <w:rPr>
          <w:rFonts w:asciiTheme="minorBidi" w:hAnsiTheme="minorBidi"/>
          <w:sz w:val="20"/>
          <w:szCs w:val="20"/>
        </w:rPr>
        <w:t xml:space="preserve"> </w:t>
      </w:r>
      <w:r w:rsidR="004917BA" w:rsidRPr="004917BA">
        <w:rPr>
          <w:rFonts w:asciiTheme="minorBidi" w:hAnsiTheme="minorBidi"/>
          <w:sz w:val="20"/>
          <w:szCs w:val="20"/>
        </w:rPr>
        <w:t xml:space="preserve">Seltem </w:t>
      </w:r>
      <w:proofErr w:type="spellStart"/>
      <w:r w:rsidR="004917BA" w:rsidRPr="004917BA">
        <w:rPr>
          <w:rFonts w:asciiTheme="minorBidi" w:hAnsiTheme="minorBidi"/>
          <w:sz w:val="20"/>
          <w:szCs w:val="20"/>
        </w:rPr>
        <w:t>Iyigun</w:t>
      </w:r>
      <w:proofErr w:type="spellEnd"/>
      <w:r w:rsidR="004917BA" w:rsidRPr="004917BA">
        <w:rPr>
          <w:rFonts w:asciiTheme="minorBidi" w:hAnsiTheme="minorBidi"/>
          <w:sz w:val="20"/>
          <w:szCs w:val="20"/>
        </w:rPr>
        <w:t>, Economist for the Middle East at Coface</w:t>
      </w:r>
      <w:r w:rsidR="004917BA">
        <w:rPr>
          <w:rFonts w:asciiTheme="minorBidi" w:hAnsiTheme="minorBidi"/>
          <w:sz w:val="20"/>
          <w:szCs w:val="20"/>
        </w:rPr>
        <w:t>.</w:t>
      </w:r>
    </w:p>
    <w:p w:rsidR="00B65960" w:rsidRPr="006D7BFC" w:rsidRDefault="00B65960" w:rsidP="004A6167">
      <w:pPr>
        <w:pStyle w:val="NoSpacing1"/>
        <w:suppressAutoHyphens/>
        <w:spacing w:line="270" w:lineRule="exact"/>
        <w:ind w:left="720"/>
        <w:jc w:val="both"/>
        <w:rPr>
          <w:rFonts w:asciiTheme="minorBidi" w:hAnsiTheme="minorBidi"/>
          <w:sz w:val="20"/>
          <w:szCs w:val="20"/>
        </w:rPr>
      </w:pPr>
    </w:p>
    <w:p w:rsidR="00386354" w:rsidRDefault="00386354">
      <w:pPr>
        <w:spacing w:after="200" w:line="276" w:lineRule="auto"/>
        <w:rPr>
          <w:rFonts w:asciiTheme="minorBidi" w:hAnsiTheme="minorBidi" w:cstheme="minorBidi"/>
          <w:sz w:val="20"/>
          <w:szCs w:val="20"/>
        </w:rPr>
      </w:pPr>
      <w:r>
        <w:rPr>
          <w:rFonts w:asciiTheme="minorBidi" w:hAnsiTheme="minorBidi"/>
          <w:sz w:val="20"/>
          <w:szCs w:val="20"/>
        </w:rPr>
        <w:br w:type="page"/>
      </w:r>
    </w:p>
    <w:p w:rsidR="00CF2113" w:rsidRPr="006D7BFC" w:rsidRDefault="00CF2113" w:rsidP="004A6167">
      <w:pPr>
        <w:pStyle w:val="NoSpacing1"/>
        <w:suppressAutoHyphens/>
        <w:spacing w:line="270" w:lineRule="exact"/>
        <w:ind w:left="720"/>
        <w:jc w:val="both"/>
        <w:rPr>
          <w:rFonts w:asciiTheme="minorBidi" w:hAnsiTheme="minorBidi"/>
          <w:b/>
          <w:sz w:val="20"/>
          <w:szCs w:val="20"/>
        </w:rPr>
      </w:pPr>
      <w:r w:rsidRPr="006D7BFC">
        <w:rPr>
          <w:rFonts w:asciiTheme="minorBidi" w:hAnsiTheme="minorBidi"/>
          <w:b/>
          <w:sz w:val="20"/>
          <w:szCs w:val="20"/>
        </w:rPr>
        <w:lastRenderedPageBreak/>
        <w:t xml:space="preserve">Promising </w:t>
      </w:r>
      <w:r w:rsidR="00311996">
        <w:rPr>
          <w:rFonts w:asciiTheme="minorBidi" w:hAnsiTheme="minorBidi"/>
          <w:b/>
          <w:sz w:val="20"/>
          <w:szCs w:val="20"/>
        </w:rPr>
        <w:t>Economic O</w:t>
      </w:r>
      <w:r w:rsidRPr="006D7BFC">
        <w:rPr>
          <w:rFonts w:asciiTheme="minorBidi" w:hAnsiTheme="minorBidi"/>
          <w:b/>
          <w:sz w:val="20"/>
          <w:szCs w:val="20"/>
        </w:rPr>
        <w:t>utlook</w:t>
      </w:r>
    </w:p>
    <w:p w:rsidR="00CF2113" w:rsidRPr="006D7BFC" w:rsidRDefault="00CF2113" w:rsidP="004A6167">
      <w:pPr>
        <w:pStyle w:val="NoSpacing1"/>
        <w:suppressAutoHyphens/>
        <w:spacing w:line="270" w:lineRule="exact"/>
        <w:ind w:left="720"/>
        <w:jc w:val="both"/>
        <w:rPr>
          <w:rFonts w:asciiTheme="minorBidi" w:hAnsiTheme="minorBidi"/>
          <w:sz w:val="20"/>
          <w:szCs w:val="20"/>
        </w:rPr>
      </w:pPr>
    </w:p>
    <w:p w:rsidR="00DE625C" w:rsidRDefault="00DE625C" w:rsidP="004A6167">
      <w:pPr>
        <w:pStyle w:val="NoSpacing1"/>
        <w:suppressAutoHyphens/>
        <w:spacing w:line="270" w:lineRule="exact"/>
        <w:ind w:left="720"/>
        <w:jc w:val="both"/>
        <w:rPr>
          <w:rFonts w:asciiTheme="minorBidi" w:hAnsiTheme="minorBidi"/>
          <w:sz w:val="20"/>
          <w:szCs w:val="20"/>
        </w:rPr>
      </w:pPr>
      <w:r>
        <w:rPr>
          <w:rFonts w:asciiTheme="minorBidi" w:hAnsiTheme="minorBidi"/>
          <w:sz w:val="20"/>
          <w:szCs w:val="20"/>
        </w:rPr>
        <w:t>According to the survey, the majority of companies in the UAE and the GCC are</w:t>
      </w:r>
      <w:r w:rsidRPr="006D7BFC">
        <w:rPr>
          <w:rFonts w:asciiTheme="minorBidi" w:hAnsiTheme="minorBidi"/>
          <w:sz w:val="20"/>
          <w:szCs w:val="20"/>
        </w:rPr>
        <w:t xml:space="preserve"> optimistic </w:t>
      </w:r>
      <w:r w:rsidR="00311996">
        <w:rPr>
          <w:rFonts w:asciiTheme="minorBidi" w:hAnsiTheme="minorBidi"/>
          <w:sz w:val="20"/>
          <w:szCs w:val="20"/>
        </w:rPr>
        <w:t>about</w:t>
      </w:r>
      <w:r>
        <w:rPr>
          <w:rFonts w:asciiTheme="minorBidi" w:hAnsiTheme="minorBidi"/>
          <w:sz w:val="20"/>
          <w:szCs w:val="20"/>
        </w:rPr>
        <w:t xml:space="preserve"> the region’s</w:t>
      </w:r>
      <w:r w:rsidRPr="006D7BFC">
        <w:rPr>
          <w:rFonts w:asciiTheme="minorBidi" w:hAnsiTheme="minorBidi"/>
          <w:sz w:val="20"/>
          <w:szCs w:val="20"/>
        </w:rPr>
        <w:t xml:space="preserve"> future </w:t>
      </w:r>
      <w:r>
        <w:rPr>
          <w:rFonts w:asciiTheme="minorBidi" w:hAnsiTheme="minorBidi"/>
          <w:sz w:val="20"/>
          <w:szCs w:val="20"/>
        </w:rPr>
        <w:t>and 31%</w:t>
      </w:r>
      <w:r w:rsidRPr="006D7BFC">
        <w:rPr>
          <w:rFonts w:asciiTheme="minorBidi" w:hAnsiTheme="minorBidi"/>
          <w:sz w:val="20"/>
          <w:szCs w:val="20"/>
        </w:rPr>
        <w:t xml:space="preserve"> cited an improvement in sales over the </w:t>
      </w:r>
      <w:r w:rsidR="00311996">
        <w:rPr>
          <w:rFonts w:asciiTheme="minorBidi" w:hAnsiTheme="minorBidi"/>
          <w:sz w:val="20"/>
          <w:szCs w:val="20"/>
        </w:rPr>
        <w:t>past</w:t>
      </w:r>
      <w:r w:rsidRPr="006D7BFC">
        <w:rPr>
          <w:rFonts w:asciiTheme="minorBidi" w:hAnsiTheme="minorBidi"/>
          <w:sz w:val="20"/>
          <w:szCs w:val="20"/>
        </w:rPr>
        <w:t xml:space="preserve"> six months. </w:t>
      </w:r>
    </w:p>
    <w:p w:rsidR="00DE625C" w:rsidRDefault="00DE625C" w:rsidP="004A6167">
      <w:pPr>
        <w:pStyle w:val="NoSpacing1"/>
        <w:suppressAutoHyphens/>
        <w:spacing w:line="270" w:lineRule="exact"/>
        <w:ind w:left="720"/>
        <w:jc w:val="both"/>
        <w:rPr>
          <w:rFonts w:asciiTheme="minorBidi" w:hAnsiTheme="minorBidi"/>
          <w:sz w:val="20"/>
          <w:szCs w:val="20"/>
        </w:rPr>
      </w:pPr>
    </w:p>
    <w:p w:rsidR="00CF2113" w:rsidRPr="006D7BFC" w:rsidRDefault="00DE625C" w:rsidP="004A6167">
      <w:pPr>
        <w:pStyle w:val="NoSpacing1"/>
        <w:suppressAutoHyphens/>
        <w:spacing w:line="270" w:lineRule="exact"/>
        <w:ind w:left="720"/>
        <w:jc w:val="both"/>
        <w:rPr>
          <w:rFonts w:asciiTheme="minorBidi" w:hAnsiTheme="minorBidi"/>
          <w:sz w:val="20"/>
          <w:szCs w:val="20"/>
        </w:rPr>
      </w:pPr>
      <w:r w:rsidRPr="00DE625C">
        <w:rPr>
          <w:rFonts w:asciiTheme="minorBidi" w:hAnsiTheme="minorBidi"/>
          <w:sz w:val="20"/>
          <w:szCs w:val="20"/>
        </w:rPr>
        <w:t xml:space="preserve">Most exporters share </w:t>
      </w:r>
      <w:r w:rsidR="00211982" w:rsidRPr="00DE625C">
        <w:rPr>
          <w:rFonts w:asciiTheme="minorBidi" w:hAnsiTheme="minorBidi"/>
          <w:sz w:val="20"/>
          <w:szCs w:val="20"/>
        </w:rPr>
        <w:t xml:space="preserve">a </w:t>
      </w:r>
      <w:r w:rsidR="00CF2113" w:rsidRPr="00DE625C">
        <w:rPr>
          <w:rFonts w:asciiTheme="minorBidi" w:hAnsiTheme="minorBidi"/>
          <w:sz w:val="20"/>
          <w:szCs w:val="20"/>
        </w:rPr>
        <w:t>cautiously positive</w:t>
      </w:r>
      <w:r w:rsidR="00211982" w:rsidRPr="00DE625C">
        <w:rPr>
          <w:rFonts w:asciiTheme="minorBidi" w:hAnsiTheme="minorBidi"/>
          <w:sz w:val="20"/>
          <w:szCs w:val="20"/>
        </w:rPr>
        <w:t xml:space="preserve"> outlook,</w:t>
      </w:r>
      <w:r w:rsidR="00CF2113" w:rsidRPr="00DE625C">
        <w:rPr>
          <w:rFonts w:asciiTheme="minorBidi" w:hAnsiTheme="minorBidi"/>
          <w:sz w:val="20"/>
          <w:szCs w:val="20"/>
        </w:rPr>
        <w:t xml:space="preserve"> with 43.5</w:t>
      </w:r>
      <w:r w:rsidR="00211982" w:rsidRPr="00DE625C">
        <w:rPr>
          <w:rFonts w:asciiTheme="minorBidi" w:hAnsiTheme="minorBidi"/>
          <w:sz w:val="20"/>
          <w:szCs w:val="20"/>
        </w:rPr>
        <w:t>%</w:t>
      </w:r>
      <w:r w:rsidR="00CF2113" w:rsidRPr="00DE625C">
        <w:rPr>
          <w:rFonts w:asciiTheme="minorBidi" w:hAnsiTheme="minorBidi"/>
          <w:sz w:val="20"/>
          <w:szCs w:val="20"/>
        </w:rPr>
        <w:t xml:space="preserve"> expecting i</w:t>
      </w:r>
      <w:r w:rsidR="00780F22" w:rsidRPr="00DE625C">
        <w:rPr>
          <w:rFonts w:asciiTheme="minorBidi" w:hAnsiTheme="minorBidi"/>
          <w:sz w:val="20"/>
          <w:szCs w:val="20"/>
        </w:rPr>
        <w:t>ncreased</w:t>
      </w:r>
      <w:r w:rsidR="00CF2113" w:rsidRPr="00DE625C">
        <w:rPr>
          <w:rFonts w:asciiTheme="minorBidi" w:hAnsiTheme="minorBidi"/>
          <w:sz w:val="20"/>
          <w:szCs w:val="20"/>
        </w:rPr>
        <w:t xml:space="preserve"> profitability, 52.2</w:t>
      </w:r>
      <w:r w:rsidR="00211982" w:rsidRPr="00DE625C">
        <w:rPr>
          <w:rFonts w:asciiTheme="minorBidi" w:hAnsiTheme="minorBidi"/>
          <w:sz w:val="20"/>
          <w:szCs w:val="20"/>
        </w:rPr>
        <w:t>%</w:t>
      </w:r>
      <w:r w:rsidR="00CF2113" w:rsidRPr="00DE625C">
        <w:rPr>
          <w:rFonts w:asciiTheme="minorBidi" w:hAnsiTheme="minorBidi"/>
          <w:sz w:val="20"/>
          <w:szCs w:val="20"/>
        </w:rPr>
        <w:t xml:space="preserve"> </w:t>
      </w:r>
      <w:r w:rsidR="00211982" w:rsidRPr="00DE625C">
        <w:rPr>
          <w:rFonts w:asciiTheme="minorBidi" w:hAnsiTheme="minorBidi"/>
          <w:sz w:val="20"/>
          <w:szCs w:val="20"/>
        </w:rPr>
        <w:t>forecasting</w:t>
      </w:r>
      <w:r w:rsidR="00CF2113" w:rsidRPr="00DE625C">
        <w:rPr>
          <w:rFonts w:asciiTheme="minorBidi" w:hAnsiTheme="minorBidi"/>
          <w:sz w:val="20"/>
          <w:szCs w:val="20"/>
        </w:rPr>
        <w:t xml:space="preserve"> </w:t>
      </w:r>
      <w:r w:rsidR="00780F22" w:rsidRPr="00DE625C">
        <w:rPr>
          <w:rFonts w:asciiTheme="minorBidi" w:hAnsiTheme="minorBidi"/>
          <w:sz w:val="20"/>
          <w:szCs w:val="20"/>
        </w:rPr>
        <w:t>higher</w:t>
      </w:r>
      <w:r w:rsidR="00CF2113" w:rsidRPr="00DE625C">
        <w:rPr>
          <w:rFonts w:asciiTheme="minorBidi" w:hAnsiTheme="minorBidi"/>
          <w:sz w:val="20"/>
          <w:szCs w:val="20"/>
        </w:rPr>
        <w:t xml:space="preserve"> sales</w:t>
      </w:r>
      <w:r w:rsidR="00311996">
        <w:rPr>
          <w:rFonts w:asciiTheme="minorBidi" w:hAnsiTheme="minorBidi"/>
          <w:sz w:val="20"/>
          <w:szCs w:val="20"/>
        </w:rPr>
        <w:t>,</w:t>
      </w:r>
      <w:r w:rsidR="00CF2113" w:rsidRPr="00DE625C">
        <w:rPr>
          <w:rFonts w:asciiTheme="minorBidi" w:hAnsiTheme="minorBidi"/>
          <w:sz w:val="20"/>
          <w:szCs w:val="20"/>
        </w:rPr>
        <w:t xml:space="preserve"> and 39</w:t>
      </w:r>
      <w:r w:rsidR="00FF7B6F" w:rsidRPr="00DE625C">
        <w:rPr>
          <w:rFonts w:asciiTheme="minorBidi" w:hAnsiTheme="minorBidi"/>
          <w:sz w:val="20"/>
          <w:szCs w:val="20"/>
        </w:rPr>
        <w:t>%</w:t>
      </w:r>
      <w:r w:rsidR="00CF2113" w:rsidRPr="00DE625C">
        <w:rPr>
          <w:rFonts w:asciiTheme="minorBidi" w:hAnsiTheme="minorBidi"/>
          <w:sz w:val="20"/>
          <w:szCs w:val="20"/>
        </w:rPr>
        <w:t xml:space="preserve"> </w:t>
      </w:r>
      <w:r w:rsidR="00780F22" w:rsidRPr="00DE625C">
        <w:rPr>
          <w:rFonts w:asciiTheme="minorBidi" w:hAnsiTheme="minorBidi"/>
          <w:sz w:val="20"/>
          <w:szCs w:val="20"/>
        </w:rPr>
        <w:t xml:space="preserve">anticipating that </w:t>
      </w:r>
      <w:r w:rsidR="00CF2113" w:rsidRPr="00DE625C">
        <w:rPr>
          <w:rFonts w:asciiTheme="minorBidi" w:hAnsiTheme="minorBidi"/>
          <w:sz w:val="20"/>
          <w:szCs w:val="20"/>
        </w:rPr>
        <w:t>cash flow</w:t>
      </w:r>
      <w:r w:rsidR="00780F22" w:rsidRPr="00DE625C">
        <w:rPr>
          <w:rFonts w:asciiTheme="minorBidi" w:hAnsiTheme="minorBidi"/>
          <w:sz w:val="20"/>
          <w:szCs w:val="20"/>
        </w:rPr>
        <w:t>s will improve</w:t>
      </w:r>
      <w:r w:rsidR="00CF2113" w:rsidRPr="00DE625C">
        <w:rPr>
          <w:rFonts w:asciiTheme="minorBidi" w:hAnsiTheme="minorBidi"/>
          <w:sz w:val="20"/>
          <w:szCs w:val="20"/>
        </w:rPr>
        <w:t>.</w:t>
      </w:r>
      <w:r w:rsidRPr="00DE625C">
        <w:rPr>
          <w:rFonts w:asciiTheme="minorBidi" w:hAnsiTheme="minorBidi"/>
          <w:sz w:val="20"/>
          <w:szCs w:val="20"/>
        </w:rPr>
        <w:t xml:space="preserve"> </w:t>
      </w:r>
      <w:r w:rsidR="00CF2113" w:rsidRPr="00DE625C">
        <w:rPr>
          <w:rFonts w:asciiTheme="minorBidi" w:hAnsiTheme="minorBidi"/>
          <w:sz w:val="20"/>
          <w:szCs w:val="20"/>
        </w:rPr>
        <w:t>Expectations remain quite positive</w:t>
      </w:r>
      <w:r w:rsidRPr="00DE625C">
        <w:rPr>
          <w:rFonts w:asciiTheme="minorBidi" w:hAnsiTheme="minorBidi"/>
          <w:sz w:val="20"/>
          <w:szCs w:val="20"/>
        </w:rPr>
        <w:t xml:space="preserve"> among domestic suppliers as well</w:t>
      </w:r>
      <w:r w:rsidR="00632307" w:rsidRPr="00DE625C">
        <w:rPr>
          <w:rFonts w:asciiTheme="minorBidi" w:hAnsiTheme="minorBidi"/>
          <w:sz w:val="20"/>
          <w:szCs w:val="20"/>
        </w:rPr>
        <w:t>,</w:t>
      </w:r>
      <w:r w:rsidR="00CF2113" w:rsidRPr="00DE625C">
        <w:rPr>
          <w:rFonts w:asciiTheme="minorBidi" w:hAnsiTheme="minorBidi"/>
          <w:sz w:val="20"/>
          <w:szCs w:val="20"/>
        </w:rPr>
        <w:t xml:space="preserve"> as 42</w:t>
      </w:r>
      <w:r w:rsidR="00632307" w:rsidRPr="00DE625C">
        <w:rPr>
          <w:rFonts w:asciiTheme="minorBidi" w:hAnsiTheme="minorBidi"/>
          <w:sz w:val="20"/>
          <w:szCs w:val="20"/>
        </w:rPr>
        <w:t>%</w:t>
      </w:r>
      <w:r w:rsidR="00CF2113" w:rsidRPr="00DE625C">
        <w:rPr>
          <w:rFonts w:asciiTheme="minorBidi" w:hAnsiTheme="minorBidi"/>
          <w:sz w:val="20"/>
          <w:szCs w:val="20"/>
        </w:rPr>
        <w:t xml:space="preserve"> of </w:t>
      </w:r>
      <w:r w:rsidR="00632307" w:rsidRPr="00DE625C">
        <w:rPr>
          <w:rFonts w:asciiTheme="minorBidi" w:hAnsiTheme="minorBidi"/>
          <w:sz w:val="20"/>
          <w:szCs w:val="20"/>
        </w:rPr>
        <w:t xml:space="preserve">those surveyed believe that </w:t>
      </w:r>
      <w:r w:rsidR="00CF2113" w:rsidRPr="00DE625C">
        <w:rPr>
          <w:rFonts w:asciiTheme="minorBidi" w:hAnsiTheme="minorBidi"/>
          <w:sz w:val="20"/>
          <w:szCs w:val="20"/>
        </w:rPr>
        <w:t xml:space="preserve">their profitability </w:t>
      </w:r>
      <w:r w:rsidR="00632307" w:rsidRPr="00DE625C">
        <w:rPr>
          <w:rFonts w:asciiTheme="minorBidi" w:hAnsiTheme="minorBidi"/>
          <w:sz w:val="20"/>
          <w:szCs w:val="20"/>
        </w:rPr>
        <w:t>will</w:t>
      </w:r>
      <w:r w:rsidR="00CF2113" w:rsidRPr="00DE625C">
        <w:rPr>
          <w:rFonts w:asciiTheme="minorBidi" w:hAnsiTheme="minorBidi"/>
          <w:sz w:val="20"/>
          <w:szCs w:val="20"/>
        </w:rPr>
        <w:t xml:space="preserve"> improve either moderately or subst</w:t>
      </w:r>
      <w:r w:rsidR="004E68BF" w:rsidRPr="00DE625C">
        <w:rPr>
          <w:rFonts w:asciiTheme="minorBidi" w:hAnsiTheme="minorBidi"/>
          <w:sz w:val="20"/>
          <w:szCs w:val="20"/>
        </w:rPr>
        <w:t xml:space="preserve">antially within </w:t>
      </w:r>
      <w:r w:rsidR="00632307" w:rsidRPr="00DE625C">
        <w:rPr>
          <w:rFonts w:asciiTheme="minorBidi" w:hAnsiTheme="minorBidi"/>
          <w:sz w:val="20"/>
          <w:szCs w:val="20"/>
        </w:rPr>
        <w:t xml:space="preserve">the next </w:t>
      </w:r>
      <w:r w:rsidR="004E68BF" w:rsidRPr="00DE625C">
        <w:rPr>
          <w:rFonts w:asciiTheme="minorBidi" w:hAnsiTheme="minorBidi"/>
          <w:sz w:val="20"/>
          <w:szCs w:val="20"/>
        </w:rPr>
        <w:t>six months</w:t>
      </w:r>
      <w:r w:rsidR="00632307" w:rsidRPr="00DE625C">
        <w:rPr>
          <w:rFonts w:asciiTheme="minorBidi" w:hAnsiTheme="minorBidi"/>
          <w:sz w:val="20"/>
          <w:szCs w:val="20"/>
        </w:rPr>
        <w:t>,</w:t>
      </w:r>
      <w:r w:rsidR="004E68BF" w:rsidRPr="00DE625C">
        <w:rPr>
          <w:rFonts w:asciiTheme="minorBidi" w:hAnsiTheme="minorBidi"/>
          <w:sz w:val="20"/>
          <w:szCs w:val="20"/>
        </w:rPr>
        <w:t xml:space="preserve"> whil</w:t>
      </w:r>
      <w:r w:rsidR="00632307" w:rsidRPr="00DE625C">
        <w:rPr>
          <w:rFonts w:asciiTheme="minorBidi" w:hAnsiTheme="minorBidi"/>
          <w:sz w:val="20"/>
          <w:szCs w:val="20"/>
        </w:rPr>
        <w:t>e</w:t>
      </w:r>
      <w:r w:rsidR="00CF2113" w:rsidRPr="00DE625C">
        <w:rPr>
          <w:rFonts w:asciiTheme="minorBidi" w:hAnsiTheme="minorBidi"/>
          <w:sz w:val="20"/>
          <w:szCs w:val="20"/>
        </w:rPr>
        <w:t xml:space="preserve"> 59</w:t>
      </w:r>
      <w:r w:rsidR="00632307" w:rsidRPr="00DE625C">
        <w:rPr>
          <w:rFonts w:asciiTheme="minorBidi" w:hAnsiTheme="minorBidi"/>
          <w:sz w:val="20"/>
          <w:szCs w:val="20"/>
        </w:rPr>
        <w:t>%</w:t>
      </w:r>
      <w:r w:rsidR="00CF2113" w:rsidRPr="00DE625C">
        <w:rPr>
          <w:rFonts w:asciiTheme="minorBidi" w:hAnsiTheme="minorBidi"/>
          <w:sz w:val="20"/>
          <w:szCs w:val="20"/>
        </w:rPr>
        <w:t xml:space="preserve"> </w:t>
      </w:r>
      <w:r w:rsidR="00632307" w:rsidRPr="00DE625C">
        <w:rPr>
          <w:rFonts w:asciiTheme="minorBidi" w:hAnsiTheme="minorBidi"/>
          <w:sz w:val="20"/>
          <w:szCs w:val="20"/>
        </w:rPr>
        <w:t xml:space="preserve">(mainly those in </w:t>
      </w:r>
      <w:r w:rsidR="00CF2113" w:rsidRPr="00DE625C">
        <w:rPr>
          <w:rFonts w:asciiTheme="minorBidi" w:hAnsiTheme="minorBidi"/>
          <w:sz w:val="20"/>
          <w:szCs w:val="20"/>
        </w:rPr>
        <w:t xml:space="preserve">the construction, </w:t>
      </w:r>
      <w:proofErr w:type="spellStart"/>
      <w:r w:rsidR="00CF2113" w:rsidRPr="00DE625C">
        <w:rPr>
          <w:rFonts w:asciiTheme="minorBidi" w:hAnsiTheme="minorBidi"/>
          <w:sz w:val="20"/>
          <w:szCs w:val="20"/>
        </w:rPr>
        <w:t>agrofood</w:t>
      </w:r>
      <w:proofErr w:type="spellEnd"/>
      <w:r w:rsidR="00CF2113" w:rsidRPr="00DE625C">
        <w:rPr>
          <w:rFonts w:asciiTheme="minorBidi" w:hAnsiTheme="minorBidi"/>
          <w:sz w:val="20"/>
          <w:szCs w:val="20"/>
        </w:rPr>
        <w:t xml:space="preserve"> and retail sectors</w:t>
      </w:r>
      <w:r w:rsidR="00632307" w:rsidRPr="00DE625C">
        <w:rPr>
          <w:rFonts w:asciiTheme="minorBidi" w:hAnsiTheme="minorBidi"/>
          <w:sz w:val="20"/>
          <w:szCs w:val="20"/>
        </w:rPr>
        <w:t>)</w:t>
      </w:r>
      <w:r w:rsidR="00CF2113" w:rsidRPr="00DE625C">
        <w:rPr>
          <w:rFonts w:asciiTheme="minorBidi" w:hAnsiTheme="minorBidi"/>
          <w:sz w:val="20"/>
          <w:szCs w:val="20"/>
        </w:rPr>
        <w:t xml:space="preserve"> expect </w:t>
      </w:r>
      <w:r w:rsidR="00632307" w:rsidRPr="00DE625C">
        <w:rPr>
          <w:rFonts w:asciiTheme="minorBidi" w:hAnsiTheme="minorBidi"/>
          <w:sz w:val="20"/>
          <w:szCs w:val="20"/>
        </w:rPr>
        <w:t xml:space="preserve">to see </w:t>
      </w:r>
      <w:r w:rsidR="00CF2113" w:rsidRPr="00DE625C">
        <w:rPr>
          <w:rFonts w:asciiTheme="minorBidi" w:hAnsiTheme="minorBidi"/>
          <w:sz w:val="20"/>
          <w:szCs w:val="20"/>
        </w:rPr>
        <w:t xml:space="preserve">an improvement in sales </w:t>
      </w:r>
      <w:r w:rsidR="00632307" w:rsidRPr="00DE625C">
        <w:rPr>
          <w:rFonts w:asciiTheme="minorBidi" w:hAnsiTheme="minorBidi"/>
          <w:sz w:val="20"/>
          <w:szCs w:val="20"/>
        </w:rPr>
        <w:t>during this period.</w:t>
      </w:r>
    </w:p>
    <w:p w:rsidR="00CF2113" w:rsidRPr="006D7BFC" w:rsidRDefault="00CF2113" w:rsidP="004A6167">
      <w:pPr>
        <w:pStyle w:val="NoSpacing1"/>
        <w:suppressAutoHyphens/>
        <w:spacing w:line="270" w:lineRule="exact"/>
        <w:ind w:left="720"/>
        <w:jc w:val="both"/>
        <w:rPr>
          <w:rFonts w:asciiTheme="minorBidi" w:hAnsiTheme="minorBidi"/>
          <w:sz w:val="20"/>
          <w:szCs w:val="20"/>
        </w:rPr>
      </w:pPr>
    </w:p>
    <w:p w:rsidR="00CF2113" w:rsidRPr="006D7BFC" w:rsidRDefault="00CF2113" w:rsidP="004A6167">
      <w:pPr>
        <w:pStyle w:val="NoSpacing1"/>
        <w:suppressAutoHyphens/>
        <w:spacing w:line="270" w:lineRule="exact"/>
        <w:ind w:left="720"/>
        <w:jc w:val="both"/>
        <w:rPr>
          <w:rFonts w:asciiTheme="minorBidi" w:hAnsiTheme="minorBidi"/>
          <w:sz w:val="20"/>
          <w:szCs w:val="20"/>
        </w:rPr>
      </w:pPr>
      <w:proofErr w:type="spellStart"/>
      <w:r w:rsidRPr="006D7BFC">
        <w:rPr>
          <w:rFonts w:asciiTheme="minorBidi" w:hAnsiTheme="minorBidi"/>
          <w:sz w:val="20"/>
          <w:szCs w:val="20"/>
        </w:rPr>
        <w:t>Coface</w:t>
      </w:r>
      <w:r w:rsidR="00632307">
        <w:rPr>
          <w:rFonts w:asciiTheme="minorBidi" w:hAnsiTheme="minorBidi"/>
          <w:sz w:val="20"/>
          <w:szCs w:val="20"/>
        </w:rPr>
        <w:t>’s</w:t>
      </w:r>
      <w:proofErr w:type="spellEnd"/>
      <w:r w:rsidRPr="006D7BFC">
        <w:rPr>
          <w:rFonts w:asciiTheme="minorBidi" w:hAnsiTheme="minorBidi"/>
          <w:sz w:val="20"/>
          <w:szCs w:val="20"/>
        </w:rPr>
        <w:t xml:space="preserve"> analysis </w:t>
      </w:r>
      <w:r w:rsidR="00632307">
        <w:rPr>
          <w:rFonts w:asciiTheme="minorBidi" w:hAnsiTheme="minorBidi"/>
          <w:sz w:val="20"/>
          <w:szCs w:val="20"/>
        </w:rPr>
        <w:t>reveals that the</w:t>
      </w:r>
      <w:r w:rsidRPr="006D7BFC">
        <w:rPr>
          <w:rFonts w:asciiTheme="minorBidi" w:hAnsiTheme="minorBidi"/>
          <w:sz w:val="20"/>
          <w:szCs w:val="20"/>
        </w:rPr>
        <w:t xml:space="preserve"> GCC region will be the </w:t>
      </w:r>
      <w:r w:rsidR="00632307">
        <w:rPr>
          <w:rFonts w:asciiTheme="minorBidi" w:hAnsiTheme="minorBidi"/>
          <w:sz w:val="20"/>
          <w:szCs w:val="20"/>
        </w:rPr>
        <w:t>leading</w:t>
      </w:r>
      <w:r w:rsidRPr="006D7BFC">
        <w:rPr>
          <w:rFonts w:asciiTheme="minorBidi" w:hAnsiTheme="minorBidi"/>
          <w:sz w:val="20"/>
          <w:szCs w:val="20"/>
        </w:rPr>
        <w:t xml:space="preserve"> export market, followed by the MENA region. </w:t>
      </w:r>
      <w:r w:rsidR="00632307">
        <w:rPr>
          <w:rFonts w:asciiTheme="minorBidi" w:hAnsiTheme="minorBidi"/>
          <w:sz w:val="20"/>
          <w:szCs w:val="20"/>
        </w:rPr>
        <w:t>The e</w:t>
      </w:r>
      <w:r w:rsidRPr="006D7BFC">
        <w:rPr>
          <w:rFonts w:asciiTheme="minorBidi" w:hAnsiTheme="minorBidi"/>
          <w:sz w:val="20"/>
          <w:szCs w:val="20"/>
        </w:rPr>
        <w:t xml:space="preserve">conomies of the GCC region are rising to the challenge this year, as </w:t>
      </w:r>
      <w:r w:rsidR="00FF7B6F">
        <w:rPr>
          <w:rFonts w:asciiTheme="minorBidi" w:hAnsiTheme="minorBidi"/>
          <w:sz w:val="20"/>
          <w:szCs w:val="20"/>
        </w:rPr>
        <w:t>their</w:t>
      </w:r>
      <w:r w:rsidRPr="006D7BFC">
        <w:rPr>
          <w:rFonts w:asciiTheme="minorBidi" w:hAnsiTheme="minorBidi"/>
          <w:sz w:val="20"/>
          <w:szCs w:val="20"/>
        </w:rPr>
        <w:t xml:space="preserve"> export market</w:t>
      </w:r>
      <w:r w:rsidR="00FF7B6F">
        <w:rPr>
          <w:rFonts w:asciiTheme="minorBidi" w:hAnsiTheme="minorBidi"/>
          <w:sz w:val="20"/>
          <w:szCs w:val="20"/>
        </w:rPr>
        <w:t xml:space="preserve">s </w:t>
      </w:r>
      <w:r w:rsidR="00FD5FB9">
        <w:rPr>
          <w:rFonts w:asciiTheme="minorBidi" w:hAnsiTheme="minorBidi"/>
          <w:sz w:val="20"/>
          <w:szCs w:val="20"/>
        </w:rPr>
        <w:t>continue</w:t>
      </w:r>
      <w:r w:rsidRPr="006D7BFC">
        <w:rPr>
          <w:rFonts w:asciiTheme="minorBidi" w:hAnsiTheme="minorBidi"/>
          <w:sz w:val="20"/>
          <w:szCs w:val="20"/>
        </w:rPr>
        <w:t xml:space="preserve"> to record the </w:t>
      </w:r>
      <w:r w:rsidR="00632307">
        <w:rPr>
          <w:rFonts w:asciiTheme="minorBidi" w:hAnsiTheme="minorBidi"/>
          <w:sz w:val="20"/>
          <w:szCs w:val="20"/>
        </w:rPr>
        <w:t xml:space="preserve">largest volume of </w:t>
      </w:r>
      <w:r w:rsidRPr="006D7BFC">
        <w:rPr>
          <w:rFonts w:asciiTheme="minorBidi" w:hAnsiTheme="minorBidi"/>
          <w:sz w:val="20"/>
          <w:szCs w:val="20"/>
        </w:rPr>
        <w:t xml:space="preserve">sales in the Middle East. </w:t>
      </w:r>
      <w:r w:rsidR="00632307">
        <w:rPr>
          <w:rFonts w:asciiTheme="minorBidi" w:hAnsiTheme="minorBidi"/>
          <w:sz w:val="20"/>
          <w:szCs w:val="20"/>
        </w:rPr>
        <w:t xml:space="preserve">Of those companies surveyed in the MENA region, 26% </w:t>
      </w:r>
      <w:r w:rsidRPr="006D7BFC">
        <w:rPr>
          <w:rFonts w:asciiTheme="minorBidi" w:hAnsiTheme="minorBidi"/>
          <w:sz w:val="20"/>
          <w:szCs w:val="20"/>
        </w:rPr>
        <w:t>intend to export to the GCC, benefiting from its proximity, cultural similarities</w:t>
      </w:r>
      <w:r w:rsidR="00311996">
        <w:rPr>
          <w:rFonts w:asciiTheme="minorBidi" w:hAnsiTheme="minorBidi"/>
          <w:sz w:val="20"/>
          <w:szCs w:val="20"/>
        </w:rPr>
        <w:t>,</w:t>
      </w:r>
      <w:r w:rsidRPr="006D7BFC">
        <w:rPr>
          <w:rFonts w:asciiTheme="minorBidi" w:hAnsiTheme="minorBidi"/>
          <w:sz w:val="20"/>
          <w:szCs w:val="20"/>
        </w:rPr>
        <w:t xml:space="preserve"> and economic integration.</w:t>
      </w:r>
    </w:p>
    <w:p w:rsidR="00CF2113" w:rsidRPr="006D7BFC" w:rsidRDefault="00CF2113" w:rsidP="004A6167">
      <w:pPr>
        <w:pStyle w:val="NoSpacing1"/>
        <w:suppressAutoHyphens/>
        <w:spacing w:line="270" w:lineRule="exact"/>
        <w:ind w:left="720"/>
        <w:jc w:val="both"/>
        <w:rPr>
          <w:rFonts w:asciiTheme="minorBidi" w:hAnsiTheme="minorBidi"/>
          <w:sz w:val="20"/>
          <w:szCs w:val="20"/>
        </w:rPr>
      </w:pPr>
    </w:p>
    <w:p w:rsidR="00CF2113" w:rsidRPr="006D7BFC" w:rsidRDefault="00CF2113" w:rsidP="004A6167">
      <w:pPr>
        <w:pStyle w:val="NoSpacing1"/>
        <w:suppressAutoHyphens/>
        <w:spacing w:line="270" w:lineRule="exact"/>
        <w:ind w:left="720"/>
        <w:jc w:val="both"/>
        <w:rPr>
          <w:rFonts w:asciiTheme="minorBidi" w:hAnsiTheme="minorBidi"/>
          <w:sz w:val="20"/>
          <w:szCs w:val="20"/>
        </w:rPr>
      </w:pPr>
      <w:r w:rsidRPr="006D7BFC">
        <w:rPr>
          <w:rFonts w:asciiTheme="minorBidi" w:hAnsiTheme="minorBidi"/>
          <w:sz w:val="20"/>
          <w:szCs w:val="20"/>
        </w:rPr>
        <w:t>New opportunities in the real estate market are expected</w:t>
      </w:r>
      <w:r w:rsidR="00906330">
        <w:rPr>
          <w:rFonts w:asciiTheme="minorBidi" w:hAnsiTheme="minorBidi"/>
          <w:sz w:val="20"/>
          <w:szCs w:val="20"/>
        </w:rPr>
        <w:t xml:space="preserve"> </w:t>
      </w:r>
      <w:r w:rsidR="00311996">
        <w:rPr>
          <w:rFonts w:asciiTheme="minorBidi" w:hAnsiTheme="minorBidi"/>
          <w:sz w:val="20"/>
          <w:szCs w:val="20"/>
        </w:rPr>
        <w:t>due</w:t>
      </w:r>
      <w:r w:rsidRPr="006D7BFC">
        <w:rPr>
          <w:rFonts w:asciiTheme="minorBidi" w:hAnsiTheme="minorBidi"/>
          <w:sz w:val="20"/>
          <w:szCs w:val="20"/>
        </w:rPr>
        <w:t xml:space="preserve"> to new tourist</w:t>
      </w:r>
      <w:r w:rsidR="00606784">
        <w:rPr>
          <w:rFonts w:asciiTheme="minorBidi" w:hAnsiTheme="minorBidi"/>
          <w:sz w:val="20"/>
          <w:szCs w:val="20"/>
        </w:rPr>
        <w:t xml:space="preserve"> </w:t>
      </w:r>
      <w:r w:rsidRPr="006D7BFC">
        <w:rPr>
          <w:rFonts w:asciiTheme="minorBidi" w:hAnsiTheme="minorBidi"/>
          <w:sz w:val="20"/>
          <w:szCs w:val="20"/>
        </w:rPr>
        <w:t>attractions</w:t>
      </w:r>
      <w:r w:rsidR="00906330">
        <w:rPr>
          <w:rFonts w:asciiTheme="minorBidi" w:hAnsiTheme="minorBidi"/>
          <w:sz w:val="20"/>
          <w:szCs w:val="20"/>
        </w:rPr>
        <w:t xml:space="preserve"> and </w:t>
      </w:r>
      <w:r w:rsidRPr="006D7BFC">
        <w:rPr>
          <w:rFonts w:asciiTheme="minorBidi" w:hAnsiTheme="minorBidi"/>
          <w:sz w:val="20"/>
          <w:szCs w:val="20"/>
        </w:rPr>
        <w:t xml:space="preserve">reforms </w:t>
      </w:r>
      <w:r w:rsidR="00311996">
        <w:rPr>
          <w:rFonts w:asciiTheme="minorBidi" w:hAnsiTheme="minorBidi"/>
          <w:sz w:val="20"/>
          <w:szCs w:val="20"/>
        </w:rPr>
        <w:t>that</w:t>
      </w:r>
      <w:r w:rsidR="00906330">
        <w:rPr>
          <w:rFonts w:asciiTheme="minorBidi" w:hAnsiTheme="minorBidi"/>
          <w:sz w:val="20"/>
          <w:szCs w:val="20"/>
        </w:rPr>
        <w:t xml:space="preserve"> are</w:t>
      </w:r>
      <w:r w:rsidRPr="006D7BFC">
        <w:rPr>
          <w:rFonts w:asciiTheme="minorBidi" w:hAnsiTheme="minorBidi"/>
          <w:sz w:val="20"/>
          <w:szCs w:val="20"/>
        </w:rPr>
        <w:t xml:space="preserve"> support</w:t>
      </w:r>
      <w:r w:rsidR="00906330">
        <w:rPr>
          <w:rFonts w:asciiTheme="minorBidi" w:hAnsiTheme="minorBidi"/>
          <w:sz w:val="20"/>
          <w:szCs w:val="20"/>
        </w:rPr>
        <w:t>ing</w:t>
      </w:r>
      <w:r w:rsidRPr="006D7BFC">
        <w:rPr>
          <w:rFonts w:asciiTheme="minorBidi" w:hAnsiTheme="minorBidi"/>
          <w:sz w:val="20"/>
          <w:szCs w:val="20"/>
        </w:rPr>
        <w:t xml:space="preserve"> the construction sector in 2017.</w:t>
      </w:r>
      <w:r w:rsidR="00606784">
        <w:rPr>
          <w:rFonts w:asciiTheme="minorBidi" w:hAnsiTheme="minorBidi"/>
          <w:sz w:val="20"/>
          <w:szCs w:val="20"/>
        </w:rPr>
        <w:t xml:space="preserve"> </w:t>
      </w:r>
      <w:r w:rsidR="00906330">
        <w:rPr>
          <w:rFonts w:asciiTheme="minorBidi" w:hAnsiTheme="minorBidi"/>
          <w:sz w:val="20"/>
          <w:szCs w:val="20"/>
        </w:rPr>
        <w:t xml:space="preserve">The survey </w:t>
      </w:r>
      <w:r w:rsidR="00FF7B6F">
        <w:rPr>
          <w:rFonts w:asciiTheme="minorBidi" w:hAnsiTheme="minorBidi"/>
          <w:sz w:val="20"/>
          <w:szCs w:val="20"/>
        </w:rPr>
        <w:t xml:space="preserve">also </w:t>
      </w:r>
      <w:r w:rsidR="00906330">
        <w:rPr>
          <w:rFonts w:asciiTheme="minorBidi" w:hAnsiTheme="minorBidi"/>
          <w:sz w:val="20"/>
          <w:szCs w:val="20"/>
        </w:rPr>
        <w:t>indicates that t</w:t>
      </w:r>
      <w:r w:rsidRPr="006D7BFC">
        <w:rPr>
          <w:rFonts w:asciiTheme="minorBidi" w:hAnsiTheme="minorBidi"/>
          <w:sz w:val="20"/>
          <w:szCs w:val="20"/>
        </w:rPr>
        <w:t xml:space="preserve">he retail sector </w:t>
      </w:r>
      <w:r w:rsidR="00906330">
        <w:rPr>
          <w:rFonts w:asciiTheme="minorBidi" w:hAnsiTheme="minorBidi"/>
          <w:sz w:val="20"/>
          <w:szCs w:val="20"/>
        </w:rPr>
        <w:t>could</w:t>
      </w:r>
      <w:r w:rsidRPr="006D7BFC">
        <w:rPr>
          <w:rFonts w:asciiTheme="minorBidi" w:hAnsiTheme="minorBidi"/>
          <w:sz w:val="20"/>
          <w:szCs w:val="20"/>
        </w:rPr>
        <w:t xml:space="preserve"> present opportunities</w:t>
      </w:r>
      <w:r w:rsidR="00906330">
        <w:rPr>
          <w:rFonts w:asciiTheme="minorBidi" w:hAnsiTheme="minorBidi"/>
          <w:sz w:val="20"/>
          <w:szCs w:val="20"/>
        </w:rPr>
        <w:t>,</w:t>
      </w:r>
      <w:r w:rsidRPr="006D7BFC">
        <w:rPr>
          <w:rFonts w:asciiTheme="minorBidi" w:hAnsiTheme="minorBidi"/>
          <w:sz w:val="20"/>
          <w:szCs w:val="20"/>
        </w:rPr>
        <w:t xml:space="preserve"> </w:t>
      </w:r>
      <w:r w:rsidR="00311996">
        <w:rPr>
          <w:rFonts w:asciiTheme="minorBidi" w:hAnsiTheme="minorBidi"/>
          <w:sz w:val="20"/>
          <w:szCs w:val="20"/>
        </w:rPr>
        <w:t xml:space="preserve">owing to </w:t>
      </w:r>
      <w:r w:rsidRPr="006D7BFC">
        <w:rPr>
          <w:rFonts w:asciiTheme="minorBidi" w:hAnsiTheme="minorBidi"/>
          <w:sz w:val="20"/>
          <w:szCs w:val="20"/>
        </w:rPr>
        <w:t xml:space="preserve">the country’s strong </w:t>
      </w:r>
      <w:r w:rsidR="00906330">
        <w:rPr>
          <w:rFonts w:asciiTheme="minorBidi" w:hAnsiTheme="minorBidi"/>
          <w:sz w:val="20"/>
          <w:szCs w:val="20"/>
        </w:rPr>
        <w:t xml:space="preserve">base of </w:t>
      </w:r>
      <w:r w:rsidRPr="006D7BFC">
        <w:rPr>
          <w:rFonts w:asciiTheme="minorBidi" w:hAnsiTheme="minorBidi"/>
          <w:sz w:val="20"/>
          <w:szCs w:val="20"/>
        </w:rPr>
        <w:t>wealthy consumer</w:t>
      </w:r>
      <w:r w:rsidR="00906330">
        <w:rPr>
          <w:rFonts w:asciiTheme="minorBidi" w:hAnsiTheme="minorBidi"/>
          <w:sz w:val="20"/>
          <w:szCs w:val="20"/>
        </w:rPr>
        <w:t>s</w:t>
      </w:r>
      <w:r w:rsidRPr="006D7BFC">
        <w:rPr>
          <w:rFonts w:asciiTheme="minorBidi" w:hAnsiTheme="minorBidi"/>
          <w:sz w:val="20"/>
          <w:szCs w:val="20"/>
        </w:rPr>
        <w:t xml:space="preserve">. </w:t>
      </w:r>
      <w:r w:rsidR="00311996">
        <w:rPr>
          <w:rFonts w:asciiTheme="minorBidi" w:hAnsiTheme="minorBidi"/>
          <w:sz w:val="20"/>
          <w:szCs w:val="20"/>
        </w:rPr>
        <w:t>However</w:t>
      </w:r>
      <w:r w:rsidRPr="006D7BFC">
        <w:rPr>
          <w:rFonts w:asciiTheme="minorBidi" w:hAnsiTheme="minorBidi"/>
          <w:sz w:val="20"/>
          <w:szCs w:val="20"/>
        </w:rPr>
        <w:t xml:space="preserve">, </w:t>
      </w:r>
      <w:r w:rsidR="00906330">
        <w:rPr>
          <w:rFonts w:asciiTheme="minorBidi" w:hAnsiTheme="minorBidi"/>
          <w:sz w:val="20"/>
          <w:szCs w:val="20"/>
        </w:rPr>
        <w:t xml:space="preserve">the sector is </w:t>
      </w:r>
      <w:r w:rsidRPr="006D7BFC">
        <w:rPr>
          <w:rFonts w:asciiTheme="minorBidi" w:hAnsiTheme="minorBidi"/>
          <w:sz w:val="20"/>
          <w:szCs w:val="20"/>
        </w:rPr>
        <w:t>still</w:t>
      </w:r>
      <w:r w:rsidR="00906330">
        <w:rPr>
          <w:rFonts w:asciiTheme="minorBidi" w:hAnsiTheme="minorBidi"/>
          <w:sz w:val="20"/>
          <w:szCs w:val="20"/>
        </w:rPr>
        <w:t xml:space="preserve"> subject to </w:t>
      </w:r>
      <w:r w:rsidRPr="006D7BFC">
        <w:rPr>
          <w:rFonts w:asciiTheme="minorBidi" w:hAnsiTheme="minorBidi"/>
          <w:sz w:val="20"/>
          <w:szCs w:val="20"/>
        </w:rPr>
        <w:t>down</w:t>
      </w:r>
      <w:r w:rsidR="00906330">
        <w:rPr>
          <w:rFonts w:asciiTheme="minorBidi" w:hAnsiTheme="minorBidi"/>
          <w:sz w:val="20"/>
          <w:szCs w:val="20"/>
        </w:rPr>
        <w:t>ward</w:t>
      </w:r>
      <w:r w:rsidRPr="006D7BFC">
        <w:rPr>
          <w:rFonts w:asciiTheme="minorBidi" w:hAnsiTheme="minorBidi"/>
          <w:sz w:val="20"/>
          <w:szCs w:val="20"/>
        </w:rPr>
        <w:t xml:space="preserve"> pressures</w:t>
      </w:r>
      <w:r w:rsidR="00906330">
        <w:rPr>
          <w:rFonts w:asciiTheme="minorBidi" w:hAnsiTheme="minorBidi"/>
          <w:sz w:val="20"/>
          <w:szCs w:val="20"/>
        </w:rPr>
        <w:t>,</w:t>
      </w:r>
      <w:r w:rsidRPr="006D7BFC">
        <w:rPr>
          <w:rFonts w:asciiTheme="minorBidi" w:hAnsiTheme="minorBidi"/>
          <w:sz w:val="20"/>
          <w:szCs w:val="20"/>
        </w:rPr>
        <w:t xml:space="preserve"> due to tight fiscal conditions</w:t>
      </w:r>
      <w:r w:rsidR="00906330">
        <w:rPr>
          <w:rFonts w:asciiTheme="minorBidi" w:hAnsiTheme="minorBidi"/>
          <w:sz w:val="20"/>
          <w:szCs w:val="20"/>
        </w:rPr>
        <w:t>.</w:t>
      </w:r>
    </w:p>
    <w:p w:rsidR="00CF2113" w:rsidRPr="006D7BFC" w:rsidRDefault="00CF2113" w:rsidP="004A6167">
      <w:pPr>
        <w:pStyle w:val="NoSpacing1"/>
        <w:suppressAutoHyphens/>
        <w:spacing w:line="270" w:lineRule="exact"/>
        <w:ind w:left="720"/>
        <w:jc w:val="both"/>
        <w:rPr>
          <w:rFonts w:asciiTheme="minorBidi" w:hAnsiTheme="minorBidi"/>
          <w:sz w:val="20"/>
          <w:szCs w:val="20"/>
        </w:rPr>
      </w:pPr>
    </w:p>
    <w:p w:rsidR="00CF2113" w:rsidRPr="006D7BFC" w:rsidRDefault="00CF2113" w:rsidP="004A6167">
      <w:pPr>
        <w:pStyle w:val="NoSpacing1"/>
        <w:suppressAutoHyphens/>
        <w:spacing w:line="270" w:lineRule="exact"/>
        <w:ind w:left="720"/>
        <w:jc w:val="both"/>
        <w:rPr>
          <w:rFonts w:asciiTheme="minorBidi" w:hAnsiTheme="minorBidi"/>
          <w:sz w:val="20"/>
          <w:szCs w:val="20"/>
        </w:rPr>
      </w:pPr>
      <w:r w:rsidRPr="006D7BFC">
        <w:rPr>
          <w:rFonts w:asciiTheme="minorBidi" w:hAnsiTheme="minorBidi"/>
          <w:sz w:val="20"/>
          <w:szCs w:val="20"/>
        </w:rPr>
        <w:t>In line with these cautiously positive perspectives, 43</w:t>
      </w:r>
      <w:r w:rsidR="00906330">
        <w:rPr>
          <w:rFonts w:asciiTheme="minorBidi" w:hAnsiTheme="minorBidi"/>
          <w:sz w:val="20"/>
          <w:szCs w:val="20"/>
        </w:rPr>
        <w:t>%</w:t>
      </w:r>
      <w:r w:rsidRPr="006D7BFC">
        <w:rPr>
          <w:rFonts w:asciiTheme="minorBidi" w:hAnsiTheme="minorBidi"/>
          <w:sz w:val="20"/>
          <w:szCs w:val="20"/>
        </w:rPr>
        <w:t xml:space="preserve"> of companies mentioned</w:t>
      </w:r>
      <w:r w:rsidR="00906330">
        <w:rPr>
          <w:rFonts w:asciiTheme="minorBidi" w:hAnsiTheme="minorBidi"/>
          <w:sz w:val="20"/>
          <w:szCs w:val="20"/>
        </w:rPr>
        <w:t xml:space="preserve"> that</w:t>
      </w:r>
      <w:r w:rsidRPr="006D7BFC">
        <w:rPr>
          <w:rFonts w:asciiTheme="minorBidi" w:hAnsiTheme="minorBidi"/>
          <w:sz w:val="20"/>
          <w:szCs w:val="20"/>
        </w:rPr>
        <w:t xml:space="preserve"> they would </w:t>
      </w:r>
      <w:r w:rsidR="00906330">
        <w:rPr>
          <w:rFonts w:asciiTheme="minorBidi" w:hAnsiTheme="minorBidi"/>
          <w:sz w:val="20"/>
          <w:szCs w:val="20"/>
        </w:rPr>
        <w:t xml:space="preserve">be </w:t>
      </w:r>
      <w:r w:rsidRPr="006D7BFC">
        <w:rPr>
          <w:rFonts w:asciiTheme="minorBidi" w:hAnsiTheme="minorBidi"/>
          <w:sz w:val="20"/>
          <w:szCs w:val="20"/>
        </w:rPr>
        <w:t>recruit</w:t>
      </w:r>
      <w:r w:rsidR="00906330">
        <w:rPr>
          <w:rFonts w:asciiTheme="minorBidi" w:hAnsiTheme="minorBidi"/>
          <w:sz w:val="20"/>
          <w:szCs w:val="20"/>
        </w:rPr>
        <w:t>ing</w:t>
      </w:r>
      <w:r w:rsidRPr="006D7BFC">
        <w:rPr>
          <w:rFonts w:asciiTheme="minorBidi" w:hAnsiTheme="minorBidi"/>
          <w:sz w:val="20"/>
          <w:szCs w:val="20"/>
        </w:rPr>
        <w:t xml:space="preserve"> new </w:t>
      </w:r>
      <w:r w:rsidR="0081658D">
        <w:rPr>
          <w:rFonts w:asciiTheme="minorBidi" w:hAnsiTheme="minorBidi"/>
          <w:sz w:val="20"/>
          <w:szCs w:val="20"/>
        </w:rPr>
        <w:t>staff over the next six months.</w:t>
      </w:r>
    </w:p>
    <w:p w:rsidR="006D7BFC" w:rsidRPr="006D7BFC" w:rsidRDefault="006D7BFC" w:rsidP="004A6167">
      <w:pPr>
        <w:pStyle w:val="NoSpacing1"/>
        <w:suppressAutoHyphens/>
        <w:spacing w:line="270" w:lineRule="exact"/>
        <w:ind w:left="720"/>
        <w:jc w:val="both"/>
        <w:rPr>
          <w:rFonts w:asciiTheme="minorBidi" w:hAnsiTheme="minorBidi"/>
          <w:b/>
          <w:sz w:val="20"/>
          <w:szCs w:val="20"/>
        </w:rPr>
      </w:pPr>
    </w:p>
    <w:p w:rsidR="00CF2113" w:rsidRPr="006D7BFC" w:rsidRDefault="00CF2113" w:rsidP="004A6167">
      <w:pPr>
        <w:pStyle w:val="NoSpacing1"/>
        <w:suppressAutoHyphens/>
        <w:spacing w:line="270" w:lineRule="exact"/>
        <w:ind w:left="720"/>
        <w:jc w:val="both"/>
        <w:rPr>
          <w:rFonts w:asciiTheme="minorBidi" w:hAnsiTheme="minorBidi"/>
          <w:sz w:val="20"/>
          <w:szCs w:val="20"/>
        </w:rPr>
      </w:pPr>
      <w:r w:rsidRPr="006D7BFC">
        <w:rPr>
          <w:rFonts w:asciiTheme="minorBidi" w:hAnsiTheme="minorBidi"/>
          <w:b/>
          <w:sz w:val="20"/>
          <w:szCs w:val="20"/>
        </w:rPr>
        <w:t xml:space="preserve">No </w:t>
      </w:r>
      <w:r w:rsidR="00311996">
        <w:rPr>
          <w:rFonts w:asciiTheme="minorBidi" w:hAnsiTheme="minorBidi"/>
          <w:b/>
          <w:sz w:val="20"/>
          <w:szCs w:val="20"/>
        </w:rPr>
        <w:t>Major R</w:t>
      </w:r>
      <w:r w:rsidRPr="006D7BFC">
        <w:rPr>
          <w:rFonts w:asciiTheme="minorBidi" w:hAnsiTheme="minorBidi"/>
          <w:b/>
          <w:sz w:val="20"/>
          <w:szCs w:val="20"/>
        </w:rPr>
        <w:t>isk</w:t>
      </w:r>
      <w:r w:rsidR="00906330">
        <w:rPr>
          <w:rFonts w:asciiTheme="minorBidi" w:hAnsiTheme="minorBidi"/>
          <w:b/>
          <w:sz w:val="20"/>
          <w:szCs w:val="20"/>
        </w:rPr>
        <w:t>s</w:t>
      </w:r>
      <w:r w:rsidRPr="006D7BFC">
        <w:rPr>
          <w:rFonts w:asciiTheme="minorBidi" w:hAnsiTheme="minorBidi"/>
          <w:b/>
          <w:sz w:val="20"/>
          <w:szCs w:val="20"/>
        </w:rPr>
        <w:t xml:space="preserve"> </w:t>
      </w:r>
      <w:r w:rsidR="00311996">
        <w:rPr>
          <w:rFonts w:asciiTheme="minorBidi" w:hAnsiTheme="minorBidi"/>
          <w:b/>
          <w:sz w:val="20"/>
          <w:szCs w:val="20"/>
        </w:rPr>
        <w:t>R</w:t>
      </w:r>
      <w:r w:rsidR="00906330">
        <w:rPr>
          <w:rFonts w:asciiTheme="minorBidi" w:hAnsiTheme="minorBidi"/>
          <w:b/>
          <w:sz w:val="20"/>
          <w:szCs w:val="20"/>
        </w:rPr>
        <w:t>egarding</w:t>
      </w:r>
      <w:r w:rsidR="00311996">
        <w:rPr>
          <w:rFonts w:asciiTheme="minorBidi" w:hAnsiTheme="minorBidi"/>
          <w:b/>
          <w:sz w:val="20"/>
          <w:szCs w:val="20"/>
        </w:rPr>
        <w:t xml:space="preserve"> Unpaid I</w:t>
      </w:r>
      <w:r w:rsidRPr="006D7BFC">
        <w:rPr>
          <w:rFonts w:asciiTheme="minorBidi" w:hAnsiTheme="minorBidi"/>
          <w:b/>
          <w:sz w:val="20"/>
          <w:szCs w:val="20"/>
        </w:rPr>
        <w:t>nvoices</w:t>
      </w:r>
    </w:p>
    <w:p w:rsidR="00CF2113" w:rsidRPr="006D7BFC" w:rsidRDefault="00CF2113" w:rsidP="004A6167">
      <w:pPr>
        <w:pStyle w:val="NoSpacing1"/>
        <w:suppressAutoHyphens/>
        <w:spacing w:line="270" w:lineRule="exact"/>
        <w:ind w:left="720"/>
        <w:jc w:val="both"/>
        <w:rPr>
          <w:rFonts w:asciiTheme="minorBidi" w:hAnsiTheme="minorBidi"/>
          <w:sz w:val="20"/>
          <w:szCs w:val="20"/>
        </w:rPr>
      </w:pPr>
    </w:p>
    <w:p w:rsidR="00CF2113" w:rsidRPr="006D7BFC" w:rsidRDefault="00CF2113" w:rsidP="004A6167">
      <w:pPr>
        <w:pStyle w:val="NoSpacing1"/>
        <w:suppressAutoHyphens/>
        <w:spacing w:line="270" w:lineRule="exact"/>
        <w:ind w:left="720"/>
        <w:jc w:val="both"/>
        <w:rPr>
          <w:rFonts w:asciiTheme="minorBidi" w:hAnsiTheme="minorBidi"/>
          <w:sz w:val="20"/>
          <w:szCs w:val="20"/>
        </w:rPr>
      </w:pPr>
      <w:r w:rsidRPr="00DE625C">
        <w:rPr>
          <w:rFonts w:asciiTheme="minorBidi" w:hAnsiTheme="minorBidi"/>
          <w:sz w:val="20"/>
          <w:szCs w:val="20"/>
        </w:rPr>
        <w:t>UAE companies – exporters and domestic suppliers alike - reported average payment terms of 60 to 90 days, with average payment delays of 30</w:t>
      </w:r>
      <w:r w:rsidR="00906330" w:rsidRPr="00DE625C">
        <w:rPr>
          <w:rFonts w:asciiTheme="minorBidi" w:hAnsiTheme="minorBidi"/>
          <w:sz w:val="20"/>
          <w:szCs w:val="20"/>
        </w:rPr>
        <w:t xml:space="preserve"> to </w:t>
      </w:r>
      <w:r w:rsidRPr="00DE625C">
        <w:rPr>
          <w:rFonts w:asciiTheme="minorBidi" w:hAnsiTheme="minorBidi"/>
          <w:sz w:val="20"/>
          <w:szCs w:val="20"/>
        </w:rPr>
        <w:t xml:space="preserve">60 days. </w:t>
      </w:r>
      <w:r w:rsidR="00906330" w:rsidRPr="00DE625C">
        <w:rPr>
          <w:rFonts w:asciiTheme="minorBidi" w:hAnsiTheme="minorBidi"/>
          <w:sz w:val="20"/>
          <w:szCs w:val="20"/>
        </w:rPr>
        <w:t>Among</w:t>
      </w:r>
      <w:r w:rsidRPr="00DE625C">
        <w:rPr>
          <w:rFonts w:asciiTheme="minorBidi" w:hAnsiTheme="minorBidi"/>
          <w:sz w:val="20"/>
          <w:szCs w:val="20"/>
        </w:rPr>
        <w:t xml:space="preserve"> exporters, the energy sector </w:t>
      </w:r>
      <w:r w:rsidR="00906330" w:rsidRPr="00DE625C">
        <w:rPr>
          <w:rFonts w:asciiTheme="minorBidi" w:hAnsiTheme="minorBidi"/>
          <w:sz w:val="20"/>
          <w:szCs w:val="20"/>
        </w:rPr>
        <w:t xml:space="preserve">is </w:t>
      </w:r>
      <w:r w:rsidRPr="00DE625C">
        <w:rPr>
          <w:rFonts w:asciiTheme="minorBidi" w:hAnsiTheme="minorBidi"/>
          <w:sz w:val="20"/>
          <w:szCs w:val="20"/>
        </w:rPr>
        <w:t>suffer</w:t>
      </w:r>
      <w:r w:rsidR="00906330" w:rsidRPr="00DE625C">
        <w:rPr>
          <w:rFonts w:asciiTheme="minorBidi" w:hAnsiTheme="minorBidi"/>
          <w:sz w:val="20"/>
          <w:szCs w:val="20"/>
        </w:rPr>
        <w:t>ing from</w:t>
      </w:r>
      <w:r w:rsidRPr="00DE625C">
        <w:rPr>
          <w:rFonts w:asciiTheme="minorBidi" w:hAnsiTheme="minorBidi"/>
          <w:sz w:val="20"/>
          <w:szCs w:val="20"/>
        </w:rPr>
        <w:t xml:space="preserve"> the longest</w:t>
      </w:r>
      <w:r w:rsidR="00906330" w:rsidRPr="00DE625C">
        <w:rPr>
          <w:rFonts w:asciiTheme="minorBidi" w:hAnsiTheme="minorBidi"/>
          <w:sz w:val="20"/>
          <w:szCs w:val="20"/>
        </w:rPr>
        <w:t xml:space="preserve"> average</w:t>
      </w:r>
      <w:r w:rsidRPr="00DE625C">
        <w:rPr>
          <w:rFonts w:asciiTheme="minorBidi" w:hAnsiTheme="minorBidi"/>
          <w:sz w:val="20"/>
          <w:szCs w:val="20"/>
        </w:rPr>
        <w:t xml:space="preserve"> payment delays</w:t>
      </w:r>
      <w:r w:rsidR="00906330" w:rsidRPr="00DE625C">
        <w:rPr>
          <w:rFonts w:asciiTheme="minorBidi" w:hAnsiTheme="minorBidi"/>
          <w:sz w:val="20"/>
          <w:szCs w:val="20"/>
        </w:rPr>
        <w:t>,</w:t>
      </w:r>
      <w:r w:rsidRPr="00DE625C">
        <w:rPr>
          <w:rFonts w:asciiTheme="minorBidi" w:hAnsiTheme="minorBidi"/>
          <w:sz w:val="20"/>
          <w:szCs w:val="20"/>
        </w:rPr>
        <w:t xml:space="preserve"> with</w:t>
      </w:r>
      <w:r w:rsidR="00906330" w:rsidRPr="00DE625C">
        <w:rPr>
          <w:rFonts w:asciiTheme="minorBidi" w:hAnsiTheme="minorBidi"/>
          <w:sz w:val="20"/>
          <w:szCs w:val="20"/>
        </w:rPr>
        <w:t xml:space="preserve"> </w:t>
      </w:r>
      <w:r w:rsidR="007644B0">
        <w:rPr>
          <w:rFonts w:asciiTheme="minorBidi" w:hAnsiTheme="minorBidi"/>
          <w:sz w:val="20"/>
          <w:szCs w:val="20"/>
        </w:rPr>
        <w:t>over</w:t>
      </w:r>
      <w:r w:rsidRPr="00DE625C">
        <w:rPr>
          <w:rFonts w:asciiTheme="minorBidi" w:hAnsiTheme="minorBidi"/>
          <w:sz w:val="20"/>
          <w:szCs w:val="20"/>
        </w:rPr>
        <w:t xml:space="preserve"> 210 days</w:t>
      </w:r>
      <w:r w:rsidR="00906330" w:rsidRPr="00DE625C">
        <w:rPr>
          <w:rFonts w:asciiTheme="minorBidi" w:hAnsiTheme="minorBidi"/>
          <w:sz w:val="20"/>
          <w:szCs w:val="20"/>
        </w:rPr>
        <w:t>. O</w:t>
      </w:r>
      <w:r w:rsidRPr="00DE625C">
        <w:rPr>
          <w:rFonts w:asciiTheme="minorBidi" w:hAnsiTheme="minorBidi"/>
          <w:sz w:val="20"/>
          <w:szCs w:val="20"/>
        </w:rPr>
        <w:t xml:space="preserve">n the domestic front, the construction sector </w:t>
      </w:r>
      <w:r w:rsidR="00906330" w:rsidRPr="00DE625C">
        <w:rPr>
          <w:rFonts w:asciiTheme="minorBidi" w:hAnsiTheme="minorBidi"/>
          <w:sz w:val="20"/>
          <w:szCs w:val="20"/>
        </w:rPr>
        <w:t>is experiencing</w:t>
      </w:r>
      <w:r w:rsidRPr="00DE625C">
        <w:rPr>
          <w:rFonts w:asciiTheme="minorBidi" w:hAnsiTheme="minorBidi"/>
          <w:sz w:val="20"/>
          <w:szCs w:val="20"/>
        </w:rPr>
        <w:t xml:space="preserve"> the longest payment terms</w:t>
      </w:r>
      <w:r w:rsidR="00906330" w:rsidRPr="00DE625C">
        <w:rPr>
          <w:rFonts w:asciiTheme="minorBidi" w:hAnsiTheme="minorBidi"/>
          <w:sz w:val="20"/>
          <w:szCs w:val="20"/>
        </w:rPr>
        <w:t>,</w:t>
      </w:r>
      <w:r w:rsidRPr="00DE625C">
        <w:rPr>
          <w:rFonts w:asciiTheme="minorBidi" w:hAnsiTheme="minorBidi"/>
          <w:sz w:val="20"/>
          <w:szCs w:val="20"/>
        </w:rPr>
        <w:t xml:space="preserve"> with an average of 97 days and delays of 93 days.</w:t>
      </w:r>
    </w:p>
    <w:p w:rsidR="00CF2113" w:rsidRPr="006D7BFC" w:rsidRDefault="00CF2113" w:rsidP="004A6167">
      <w:pPr>
        <w:pStyle w:val="NoSpacing1"/>
        <w:suppressAutoHyphens/>
        <w:spacing w:line="270" w:lineRule="exact"/>
        <w:ind w:left="720"/>
        <w:jc w:val="both"/>
        <w:rPr>
          <w:rFonts w:asciiTheme="minorBidi" w:hAnsiTheme="minorBidi"/>
          <w:sz w:val="20"/>
          <w:szCs w:val="20"/>
        </w:rPr>
      </w:pPr>
    </w:p>
    <w:p w:rsidR="00CF2113" w:rsidRPr="006D7BFC" w:rsidRDefault="00CF2113" w:rsidP="004A6167">
      <w:pPr>
        <w:pStyle w:val="NoSpacing1"/>
        <w:suppressAutoHyphens/>
        <w:spacing w:line="270" w:lineRule="exact"/>
        <w:ind w:left="720"/>
        <w:jc w:val="both"/>
        <w:rPr>
          <w:rFonts w:asciiTheme="minorBidi" w:hAnsiTheme="minorBidi"/>
          <w:sz w:val="20"/>
          <w:szCs w:val="20"/>
        </w:rPr>
      </w:pPr>
      <w:r w:rsidRPr="006D7BFC">
        <w:rPr>
          <w:rFonts w:asciiTheme="minorBidi" w:hAnsiTheme="minorBidi"/>
          <w:sz w:val="20"/>
          <w:szCs w:val="20"/>
        </w:rPr>
        <w:t xml:space="preserve">Respondents cited their client’s financial difficulties and administrative inefficiencies </w:t>
      </w:r>
      <w:r w:rsidR="00271293">
        <w:rPr>
          <w:rFonts w:asciiTheme="minorBidi" w:hAnsiTheme="minorBidi"/>
          <w:sz w:val="20"/>
          <w:szCs w:val="20"/>
        </w:rPr>
        <w:t xml:space="preserve">- </w:t>
      </w:r>
      <w:r w:rsidRPr="006D7BFC">
        <w:rPr>
          <w:rFonts w:asciiTheme="minorBidi" w:hAnsiTheme="minorBidi"/>
          <w:sz w:val="20"/>
          <w:szCs w:val="20"/>
        </w:rPr>
        <w:t>such as weakness</w:t>
      </w:r>
      <w:r w:rsidR="00271293">
        <w:rPr>
          <w:rFonts w:asciiTheme="minorBidi" w:hAnsiTheme="minorBidi"/>
          <w:sz w:val="20"/>
          <w:szCs w:val="20"/>
        </w:rPr>
        <w:t>es</w:t>
      </w:r>
      <w:r w:rsidRPr="006D7BFC">
        <w:rPr>
          <w:rFonts w:asciiTheme="minorBidi" w:hAnsiTheme="minorBidi"/>
          <w:sz w:val="20"/>
          <w:szCs w:val="20"/>
        </w:rPr>
        <w:t xml:space="preserve"> in the debt collection process </w:t>
      </w:r>
      <w:r w:rsidR="00271293">
        <w:rPr>
          <w:rFonts w:asciiTheme="minorBidi" w:hAnsiTheme="minorBidi"/>
          <w:sz w:val="20"/>
          <w:szCs w:val="20"/>
        </w:rPr>
        <w:t xml:space="preserve">- </w:t>
      </w:r>
      <w:r w:rsidRPr="006D7BFC">
        <w:rPr>
          <w:rFonts w:asciiTheme="minorBidi" w:hAnsiTheme="minorBidi"/>
          <w:sz w:val="20"/>
          <w:szCs w:val="20"/>
        </w:rPr>
        <w:t xml:space="preserve">as the main reasons for non-payment. Delays in payment, in turn, </w:t>
      </w:r>
      <w:r w:rsidR="00271293">
        <w:rPr>
          <w:rFonts w:asciiTheme="minorBidi" w:hAnsiTheme="minorBidi"/>
          <w:sz w:val="20"/>
          <w:szCs w:val="20"/>
        </w:rPr>
        <w:t xml:space="preserve">are </w:t>
      </w:r>
      <w:r w:rsidRPr="006D7BFC">
        <w:rPr>
          <w:rFonts w:asciiTheme="minorBidi" w:hAnsiTheme="minorBidi"/>
          <w:sz w:val="20"/>
          <w:szCs w:val="20"/>
        </w:rPr>
        <w:t>result</w:t>
      </w:r>
      <w:r w:rsidR="00271293">
        <w:rPr>
          <w:rFonts w:asciiTheme="minorBidi" w:hAnsiTheme="minorBidi"/>
          <w:sz w:val="20"/>
          <w:szCs w:val="20"/>
        </w:rPr>
        <w:t>ing in a squeeze on</w:t>
      </w:r>
      <w:r w:rsidRPr="006D7BFC">
        <w:rPr>
          <w:rFonts w:asciiTheme="minorBidi" w:hAnsiTheme="minorBidi"/>
          <w:sz w:val="20"/>
          <w:szCs w:val="20"/>
        </w:rPr>
        <w:t xml:space="preserve"> liquidity </w:t>
      </w:r>
      <w:r w:rsidR="00271293">
        <w:rPr>
          <w:rFonts w:asciiTheme="minorBidi" w:hAnsiTheme="minorBidi"/>
          <w:sz w:val="20"/>
          <w:szCs w:val="20"/>
        </w:rPr>
        <w:t xml:space="preserve">for </w:t>
      </w:r>
      <w:r w:rsidRPr="006D7BFC">
        <w:rPr>
          <w:rFonts w:asciiTheme="minorBidi" w:hAnsiTheme="minorBidi"/>
          <w:sz w:val="20"/>
          <w:szCs w:val="20"/>
        </w:rPr>
        <w:t>52</w:t>
      </w:r>
      <w:r w:rsidR="00271293">
        <w:rPr>
          <w:rFonts w:asciiTheme="minorBidi" w:hAnsiTheme="minorBidi"/>
          <w:sz w:val="20"/>
          <w:szCs w:val="20"/>
        </w:rPr>
        <w:t xml:space="preserve">% of companies, </w:t>
      </w:r>
      <w:r w:rsidRPr="006D7BFC">
        <w:rPr>
          <w:rFonts w:asciiTheme="minorBidi" w:hAnsiTheme="minorBidi"/>
          <w:sz w:val="20"/>
          <w:szCs w:val="20"/>
        </w:rPr>
        <w:t>additional interest cost</w:t>
      </w:r>
      <w:r w:rsidR="00271293">
        <w:rPr>
          <w:rFonts w:asciiTheme="minorBidi" w:hAnsiTheme="minorBidi"/>
          <w:sz w:val="20"/>
          <w:szCs w:val="20"/>
        </w:rPr>
        <w:t xml:space="preserve">s for </w:t>
      </w:r>
      <w:r w:rsidRPr="006D7BFC">
        <w:rPr>
          <w:rFonts w:asciiTheme="minorBidi" w:hAnsiTheme="minorBidi"/>
          <w:sz w:val="20"/>
          <w:szCs w:val="20"/>
        </w:rPr>
        <w:t>44</w:t>
      </w:r>
      <w:r w:rsidR="00271293">
        <w:rPr>
          <w:rFonts w:asciiTheme="minorBidi" w:hAnsiTheme="minorBidi"/>
          <w:sz w:val="20"/>
          <w:szCs w:val="20"/>
        </w:rPr>
        <w:t>%</w:t>
      </w:r>
      <w:r w:rsidR="007644B0">
        <w:rPr>
          <w:rFonts w:asciiTheme="minorBidi" w:hAnsiTheme="minorBidi"/>
          <w:sz w:val="20"/>
          <w:szCs w:val="20"/>
        </w:rPr>
        <w:t>,</w:t>
      </w:r>
      <w:r w:rsidRPr="006D7BFC">
        <w:rPr>
          <w:rFonts w:asciiTheme="minorBidi" w:hAnsiTheme="minorBidi"/>
          <w:sz w:val="20"/>
          <w:szCs w:val="20"/>
        </w:rPr>
        <w:t xml:space="preserve"> and loss of income </w:t>
      </w:r>
      <w:r w:rsidR="00271293">
        <w:rPr>
          <w:rFonts w:asciiTheme="minorBidi" w:hAnsiTheme="minorBidi"/>
          <w:sz w:val="20"/>
          <w:szCs w:val="20"/>
        </w:rPr>
        <w:t xml:space="preserve">for </w:t>
      </w:r>
      <w:r w:rsidRPr="006D7BFC">
        <w:rPr>
          <w:rFonts w:asciiTheme="minorBidi" w:hAnsiTheme="minorBidi"/>
          <w:sz w:val="20"/>
          <w:szCs w:val="20"/>
        </w:rPr>
        <w:t>42</w:t>
      </w:r>
      <w:r w:rsidR="00271293">
        <w:rPr>
          <w:rFonts w:asciiTheme="minorBidi" w:hAnsiTheme="minorBidi"/>
          <w:sz w:val="20"/>
          <w:szCs w:val="20"/>
        </w:rPr>
        <w:t>%</w:t>
      </w:r>
      <w:r w:rsidRPr="006D7BFC">
        <w:rPr>
          <w:rFonts w:asciiTheme="minorBidi" w:hAnsiTheme="minorBidi"/>
          <w:sz w:val="20"/>
          <w:szCs w:val="20"/>
        </w:rPr>
        <w:t>.</w:t>
      </w:r>
    </w:p>
    <w:p w:rsidR="00CF2113" w:rsidRPr="006D7BFC" w:rsidRDefault="00CF2113" w:rsidP="004A6167">
      <w:pPr>
        <w:pStyle w:val="NoSpacing1"/>
        <w:suppressAutoHyphens/>
        <w:spacing w:line="270" w:lineRule="exact"/>
        <w:ind w:left="720"/>
        <w:jc w:val="both"/>
        <w:rPr>
          <w:rFonts w:asciiTheme="minorBidi" w:hAnsiTheme="minorBidi"/>
          <w:sz w:val="20"/>
          <w:szCs w:val="20"/>
        </w:rPr>
      </w:pPr>
    </w:p>
    <w:p w:rsidR="00CF2113" w:rsidRPr="006D7BFC" w:rsidRDefault="007644B0" w:rsidP="004A6167">
      <w:pPr>
        <w:pStyle w:val="NoSpacing1"/>
        <w:suppressAutoHyphens/>
        <w:spacing w:line="270" w:lineRule="exact"/>
        <w:ind w:left="709"/>
        <w:jc w:val="both"/>
        <w:rPr>
          <w:rFonts w:asciiTheme="minorBidi" w:hAnsiTheme="minorBidi"/>
          <w:sz w:val="20"/>
          <w:szCs w:val="20"/>
        </w:rPr>
      </w:pPr>
      <w:r>
        <w:rPr>
          <w:rFonts w:asciiTheme="minorBidi" w:hAnsiTheme="minorBidi"/>
          <w:sz w:val="20"/>
          <w:szCs w:val="20"/>
        </w:rPr>
        <w:lastRenderedPageBreak/>
        <w:t>O</w:t>
      </w:r>
      <w:r w:rsidR="00CF2113" w:rsidRPr="006D7BFC">
        <w:rPr>
          <w:rFonts w:asciiTheme="minorBidi" w:hAnsiTheme="minorBidi"/>
          <w:sz w:val="20"/>
          <w:szCs w:val="20"/>
        </w:rPr>
        <w:t>utstanding receivables and unpaid invoices accounted</w:t>
      </w:r>
      <w:r w:rsidR="00FF7B6F">
        <w:rPr>
          <w:rFonts w:asciiTheme="minorBidi" w:hAnsiTheme="minorBidi"/>
          <w:sz w:val="20"/>
          <w:szCs w:val="20"/>
        </w:rPr>
        <w:t xml:space="preserve"> for</w:t>
      </w:r>
      <w:r w:rsidR="00CF2113" w:rsidRPr="006D7BFC">
        <w:rPr>
          <w:rFonts w:asciiTheme="minorBidi" w:hAnsiTheme="minorBidi"/>
          <w:sz w:val="20"/>
          <w:szCs w:val="20"/>
        </w:rPr>
        <w:t xml:space="preserve"> </w:t>
      </w:r>
      <w:r w:rsidR="00271293">
        <w:rPr>
          <w:rFonts w:asciiTheme="minorBidi" w:hAnsiTheme="minorBidi"/>
          <w:sz w:val="20"/>
          <w:szCs w:val="20"/>
        </w:rPr>
        <w:t xml:space="preserve">a </w:t>
      </w:r>
      <w:r w:rsidR="00CF2113" w:rsidRPr="006D7BFC">
        <w:rPr>
          <w:rFonts w:asciiTheme="minorBidi" w:hAnsiTheme="minorBidi"/>
          <w:sz w:val="20"/>
          <w:szCs w:val="20"/>
        </w:rPr>
        <w:t xml:space="preserve">single digit </w:t>
      </w:r>
      <w:r w:rsidR="00271293">
        <w:rPr>
          <w:rFonts w:asciiTheme="minorBidi" w:hAnsiTheme="minorBidi"/>
          <w:sz w:val="20"/>
          <w:szCs w:val="20"/>
        </w:rPr>
        <w:t xml:space="preserve">percentage </w:t>
      </w:r>
      <w:r w:rsidR="00CF2113" w:rsidRPr="006D7BFC">
        <w:rPr>
          <w:rFonts w:asciiTheme="minorBidi" w:hAnsiTheme="minorBidi"/>
          <w:sz w:val="20"/>
          <w:szCs w:val="20"/>
        </w:rPr>
        <w:t xml:space="preserve">of total annual </w:t>
      </w:r>
      <w:r>
        <w:rPr>
          <w:rFonts w:asciiTheme="minorBidi" w:hAnsiTheme="minorBidi"/>
          <w:sz w:val="20"/>
          <w:szCs w:val="20"/>
        </w:rPr>
        <w:t>sales on average</w:t>
      </w:r>
      <w:r w:rsidR="00CF2113" w:rsidRPr="006D7BFC">
        <w:rPr>
          <w:rFonts w:asciiTheme="minorBidi" w:hAnsiTheme="minorBidi"/>
          <w:sz w:val="20"/>
          <w:szCs w:val="20"/>
        </w:rPr>
        <w:t xml:space="preserve">. </w:t>
      </w:r>
      <w:r w:rsidR="00271293">
        <w:rPr>
          <w:rFonts w:asciiTheme="minorBidi" w:hAnsiTheme="minorBidi"/>
          <w:sz w:val="20"/>
          <w:szCs w:val="20"/>
        </w:rPr>
        <w:t>The majority</w:t>
      </w:r>
      <w:r w:rsidR="00CF2113" w:rsidRPr="006D7BFC">
        <w:rPr>
          <w:rFonts w:asciiTheme="minorBidi" w:hAnsiTheme="minorBidi"/>
          <w:sz w:val="20"/>
          <w:szCs w:val="20"/>
        </w:rPr>
        <w:t xml:space="preserve"> of exporters </w:t>
      </w:r>
      <w:r w:rsidR="00271293">
        <w:rPr>
          <w:rFonts w:asciiTheme="minorBidi" w:hAnsiTheme="minorBidi"/>
          <w:sz w:val="20"/>
          <w:szCs w:val="20"/>
        </w:rPr>
        <w:t>reported that</w:t>
      </w:r>
      <w:r w:rsidR="00CF2113" w:rsidRPr="006D7BFC">
        <w:rPr>
          <w:rFonts w:asciiTheme="minorBidi" w:hAnsiTheme="minorBidi"/>
          <w:sz w:val="20"/>
          <w:szCs w:val="20"/>
        </w:rPr>
        <w:t xml:space="preserve"> outstanding receivables and unpaid </w:t>
      </w:r>
      <w:r w:rsidR="0081658D">
        <w:rPr>
          <w:rFonts w:asciiTheme="minorBidi" w:hAnsiTheme="minorBidi"/>
          <w:sz w:val="20"/>
          <w:szCs w:val="20"/>
        </w:rPr>
        <w:t xml:space="preserve">invoices accounted for </w:t>
      </w:r>
      <w:r w:rsidR="00271293">
        <w:rPr>
          <w:rFonts w:asciiTheme="minorBidi" w:hAnsiTheme="minorBidi"/>
          <w:sz w:val="20"/>
          <w:szCs w:val="20"/>
        </w:rPr>
        <w:t>between 2 to 5%</w:t>
      </w:r>
      <w:r w:rsidR="00CF2113" w:rsidRPr="006D7BFC">
        <w:rPr>
          <w:rFonts w:asciiTheme="minorBidi" w:hAnsiTheme="minorBidi"/>
          <w:sz w:val="20"/>
          <w:szCs w:val="20"/>
        </w:rPr>
        <w:t xml:space="preserve"> of their total annual </w:t>
      </w:r>
      <w:r>
        <w:rPr>
          <w:rFonts w:asciiTheme="minorBidi" w:hAnsiTheme="minorBidi"/>
          <w:sz w:val="20"/>
          <w:szCs w:val="20"/>
        </w:rPr>
        <w:t>sales</w:t>
      </w:r>
      <w:r w:rsidR="00CF2113" w:rsidRPr="006D7BFC">
        <w:rPr>
          <w:rFonts w:asciiTheme="minorBidi" w:hAnsiTheme="minorBidi"/>
          <w:sz w:val="20"/>
          <w:szCs w:val="20"/>
        </w:rPr>
        <w:t xml:space="preserve">. On </w:t>
      </w:r>
      <w:r w:rsidR="00271293">
        <w:rPr>
          <w:rFonts w:asciiTheme="minorBidi" w:hAnsiTheme="minorBidi"/>
          <w:sz w:val="20"/>
          <w:szCs w:val="20"/>
        </w:rPr>
        <w:t xml:space="preserve">the </w:t>
      </w:r>
      <w:r w:rsidR="00CF2113" w:rsidRPr="006D7BFC">
        <w:rPr>
          <w:rFonts w:asciiTheme="minorBidi" w:hAnsiTheme="minorBidi"/>
          <w:sz w:val="20"/>
          <w:szCs w:val="20"/>
        </w:rPr>
        <w:t xml:space="preserve">domestic </w:t>
      </w:r>
      <w:proofErr w:type="gramStart"/>
      <w:r w:rsidR="00CF2113" w:rsidRPr="006D7BFC">
        <w:rPr>
          <w:rFonts w:asciiTheme="minorBidi" w:hAnsiTheme="minorBidi"/>
          <w:sz w:val="20"/>
          <w:szCs w:val="20"/>
        </w:rPr>
        <w:t>suppliers</w:t>
      </w:r>
      <w:proofErr w:type="gramEnd"/>
      <w:r w:rsidR="00CF2113" w:rsidRPr="006D7BFC">
        <w:rPr>
          <w:rFonts w:asciiTheme="minorBidi" w:hAnsiTheme="minorBidi"/>
          <w:sz w:val="20"/>
          <w:szCs w:val="20"/>
        </w:rPr>
        <w:t xml:space="preserve"> side, 18</w:t>
      </w:r>
      <w:r w:rsidR="00271293">
        <w:rPr>
          <w:rFonts w:asciiTheme="minorBidi" w:hAnsiTheme="minorBidi"/>
          <w:sz w:val="20"/>
          <w:szCs w:val="20"/>
        </w:rPr>
        <w:t>%</w:t>
      </w:r>
      <w:r w:rsidR="00CF2113" w:rsidRPr="006D7BFC">
        <w:rPr>
          <w:rFonts w:asciiTheme="minorBidi" w:hAnsiTheme="minorBidi"/>
          <w:sz w:val="20"/>
          <w:szCs w:val="20"/>
        </w:rPr>
        <w:t xml:space="preserve"> of respondents said </w:t>
      </w:r>
      <w:r w:rsidR="00271293">
        <w:rPr>
          <w:rFonts w:asciiTheme="minorBidi" w:hAnsiTheme="minorBidi"/>
          <w:sz w:val="20"/>
          <w:szCs w:val="20"/>
        </w:rPr>
        <w:t xml:space="preserve">that </w:t>
      </w:r>
      <w:r w:rsidR="00CF2113" w:rsidRPr="006D7BFC">
        <w:rPr>
          <w:rFonts w:asciiTheme="minorBidi" w:hAnsiTheme="minorBidi"/>
          <w:sz w:val="20"/>
          <w:szCs w:val="20"/>
        </w:rPr>
        <w:t xml:space="preserve">outstanding receivables and unpaid </w:t>
      </w:r>
      <w:r w:rsidR="0081658D">
        <w:rPr>
          <w:rFonts w:asciiTheme="minorBidi" w:hAnsiTheme="minorBidi"/>
          <w:sz w:val="20"/>
          <w:szCs w:val="20"/>
        </w:rPr>
        <w:t xml:space="preserve">invoices account for less than </w:t>
      </w:r>
      <w:r w:rsidR="00271293">
        <w:rPr>
          <w:rFonts w:asciiTheme="minorBidi" w:hAnsiTheme="minorBidi"/>
          <w:sz w:val="20"/>
          <w:szCs w:val="20"/>
        </w:rPr>
        <w:t>2%</w:t>
      </w:r>
      <w:r w:rsidR="00CF2113" w:rsidRPr="006D7BFC">
        <w:rPr>
          <w:rFonts w:asciiTheme="minorBidi" w:hAnsiTheme="minorBidi"/>
          <w:sz w:val="20"/>
          <w:szCs w:val="20"/>
        </w:rPr>
        <w:t xml:space="preserve"> of their total sales, </w:t>
      </w:r>
      <w:r w:rsidR="00271293">
        <w:rPr>
          <w:rFonts w:asciiTheme="minorBidi" w:hAnsiTheme="minorBidi"/>
          <w:sz w:val="20"/>
          <w:szCs w:val="20"/>
        </w:rPr>
        <w:t xml:space="preserve">while </w:t>
      </w:r>
      <w:r w:rsidR="00CF2113" w:rsidRPr="006D7BFC">
        <w:rPr>
          <w:rFonts w:asciiTheme="minorBidi" w:hAnsiTheme="minorBidi"/>
          <w:sz w:val="20"/>
          <w:szCs w:val="20"/>
        </w:rPr>
        <w:t>20</w:t>
      </w:r>
      <w:r w:rsidR="00271293">
        <w:rPr>
          <w:rFonts w:asciiTheme="minorBidi" w:hAnsiTheme="minorBidi"/>
          <w:sz w:val="20"/>
          <w:szCs w:val="20"/>
        </w:rPr>
        <w:t>%</w:t>
      </w:r>
      <w:r w:rsidR="00CF2113" w:rsidRPr="006D7BFC">
        <w:rPr>
          <w:rFonts w:asciiTheme="minorBidi" w:hAnsiTheme="minorBidi"/>
          <w:sz w:val="20"/>
          <w:szCs w:val="20"/>
        </w:rPr>
        <w:t xml:space="preserve"> s</w:t>
      </w:r>
      <w:r w:rsidR="0081658D">
        <w:rPr>
          <w:rFonts w:asciiTheme="minorBidi" w:hAnsiTheme="minorBidi"/>
          <w:sz w:val="20"/>
          <w:szCs w:val="20"/>
        </w:rPr>
        <w:t xml:space="preserve">aid </w:t>
      </w:r>
      <w:r w:rsidR="00271293">
        <w:rPr>
          <w:rFonts w:asciiTheme="minorBidi" w:hAnsiTheme="minorBidi"/>
          <w:sz w:val="20"/>
          <w:szCs w:val="20"/>
        </w:rPr>
        <w:t>that they</w:t>
      </w:r>
      <w:r w:rsidR="0081658D">
        <w:rPr>
          <w:rFonts w:asciiTheme="minorBidi" w:hAnsiTheme="minorBidi"/>
          <w:sz w:val="20"/>
          <w:szCs w:val="20"/>
        </w:rPr>
        <w:t xml:space="preserve"> accounted for </w:t>
      </w:r>
      <w:r w:rsidR="00271293">
        <w:rPr>
          <w:rFonts w:asciiTheme="minorBidi" w:hAnsiTheme="minorBidi"/>
          <w:sz w:val="20"/>
          <w:szCs w:val="20"/>
        </w:rPr>
        <w:t xml:space="preserve">5 </w:t>
      </w:r>
      <w:r w:rsidR="0081658D">
        <w:rPr>
          <w:rFonts w:asciiTheme="minorBidi" w:hAnsiTheme="minorBidi"/>
          <w:sz w:val="20"/>
          <w:szCs w:val="20"/>
        </w:rPr>
        <w:t>to 10</w:t>
      </w:r>
      <w:r w:rsidR="00271293">
        <w:rPr>
          <w:rFonts w:asciiTheme="minorBidi" w:hAnsiTheme="minorBidi"/>
          <w:sz w:val="20"/>
          <w:szCs w:val="20"/>
        </w:rPr>
        <w:t>%</w:t>
      </w:r>
      <w:r>
        <w:rPr>
          <w:rFonts w:asciiTheme="minorBidi" w:hAnsiTheme="minorBidi"/>
          <w:sz w:val="20"/>
          <w:szCs w:val="20"/>
        </w:rPr>
        <w:t xml:space="preserve"> of sales </w:t>
      </w:r>
      <w:r w:rsidR="00CF2113" w:rsidRPr="006D7BFC">
        <w:rPr>
          <w:rFonts w:asciiTheme="minorBidi" w:hAnsiTheme="minorBidi"/>
          <w:sz w:val="20"/>
          <w:szCs w:val="20"/>
        </w:rPr>
        <w:t>and 16</w:t>
      </w:r>
      <w:r w:rsidR="00271293">
        <w:rPr>
          <w:rFonts w:asciiTheme="minorBidi" w:hAnsiTheme="minorBidi"/>
          <w:sz w:val="20"/>
          <w:szCs w:val="20"/>
        </w:rPr>
        <w:t>%</w:t>
      </w:r>
      <w:r w:rsidR="00CF2113" w:rsidRPr="006D7BFC">
        <w:rPr>
          <w:rFonts w:asciiTheme="minorBidi" w:hAnsiTheme="minorBidi"/>
          <w:sz w:val="20"/>
          <w:szCs w:val="20"/>
        </w:rPr>
        <w:t xml:space="preserve"> for 20</w:t>
      </w:r>
      <w:r w:rsidR="00271293">
        <w:rPr>
          <w:rFonts w:asciiTheme="minorBidi" w:hAnsiTheme="minorBidi"/>
          <w:sz w:val="20"/>
          <w:szCs w:val="20"/>
        </w:rPr>
        <w:t>%</w:t>
      </w:r>
      <w:r w:rsidR="00CF2113" w:rsidRPr="006D7BFC">
        <w:rPr>
          <w:rFonts w:asciiTheme="minorBidi" w:hAnsiTheme="minorBidi"/>
          <w:sz w:val="20"/>
          <w:szCs w:val="20"/>
        </w:rPr>
        <w:t xml:space="preserve"> of </w:t>
      </w:r>
      <w:r>
        <w:rPr>
          <w:rFonts w:asciiTheme="minorBidi" w:hAnsiTheme="minorBidi"/>
          <w:sz w:val="20"/>
          <w:szCs w:val="20"/>
        </w:rPr>
        <w:t>sales</w:t>
      </w:r>
      <w:r w:rsidR="00CF2113" w:rsidRPr="006D7BFC">
        <w:rPr>
          <w:rFonts w:asciiTheme="minorBidi" w:hAnsiTheme="minorBidi"/>
          <w:sz w:val="20"/>
          <w:szCs w:val="20"/>
        </w:rPr>
        <w:t>.</w:t>
      </w:r>
      <w:r w:rsidR="00FF7B6F">
        <w:rPr>
          <w:rFonts w:asciiTheme="minorBidi" w:hAnsiTheme="minorBidi"/>
          <w:sz w:val="20"/>
          <w:szCs w:val="20"/>
        </w:rPr>
        <w:t xml:space="preserve"> </w:t>
      </w:r>
      <w:proofErr w:type="spellStart"/>
      <w:r w:rsidR="00CF2113" w:rsidRPr="006D7BFC">
        <w:rPr>
          <w:rFonts w:asciiTheme="minorBidi" w:hAnsiTheme="minorBidi"/>
          <w:sz w:val="20"/>
          <w:szCs w:val="20"/>
        </w:rPr>
        <w:t>Coface’s</w:t>
      </w:r>
      <w:proofErr w:type="spellEnd"/>
      <w:r w:rsidR="00CF2113" w:rsidRPr="006D7BFC">
        <w:rPr>
          <w:rFonts w:asciiTheme="minorBidi" w:hAnsiTheme="minorBidi"/>
          <w:sz w:val="20"/>
          <w:szCs w:val="20"/>
        </w:rPr>
        <w:t xml:space="preserve"> experience</w:t>
      </w:r>
      <w:r w:rsidR="00845802">
        <w:rPr>
          <w:rFonts w:asciiTheme="minorBidi" w:hAnsiTheme="minorBidi"/>
          <w:sz w:val="20"/>
          <w:szCs w:val="20"/>
        </w:rPr>
        <w:t xml:space="preserve"> has shown that</w:t>
      </w:r>
      <w:r w:rsidR="00CF2113" w:rsidRPr="006D7BFC">
        <w:rPr>
          <w:rFonts w:asciiTheme="minorBidi" w:hAnsiTheme="minorBidi"/>
          <w:sz w:val="20"/>
          <w:szCs w:val="20"/>
        </w:rPr>
        <w:t xml:space="preserve"> 80</w:t>
      </w:r>
      <w:r w:rsidR="00845802">
        <w:rPr>
          <w:rFonts w:asciiTheme="minorBidi" w:hAnsiTheme="minorBidi"/>
          <w:sz w:val="20"/>
          <w:szCs w:val="20"/>
        </w:rPr>
        <w:t>%</w:t>
      </w:r>
      <w:r w:rsidR="00CF2113" w:rsidRPr="006D7BFC">
        <w:rPr>
          <w:rFonts w:asciiTheme="minorBidi" w:hAnsiTheme="minorBidi"/>
          <w:sz w:val="20"/>
          <w:szCs w:val="20"/>
        </w:rPr>
        <w:t xml:space="preserve"> of outstanding receivables </w:t>
      </w:r>
      <w:r w:rsidR="00845802">
        <w:rPr>
          <w:rFonts w:asciiTheme="minorBidi" w:hAnsiTheme="minorBidi"/>
          <w:sz w:val="20"/>
          <w:szCs w:val="20"/>
        </w:rPr>
        <w:t xml:space="preserve">with payment delays in excess of six months </w:t>
      </w:r>
      <w:r w:rsidR="00CF2113" w:rsidRPr="006D7BFC">
        <w:rPr>
          <w:rFonts w:asciiTheme="minorBidi" w:hAnsiTheme="minorBidi"/>
          <w:sz w:val="20"/>
          <w:szCs w:val="20"/>
        </w:rPr>
        <w:t>will not be fully pai</w:t>
      </w:r>
      <w:r w:rsidR="0081658D">
        <w:rPr>
          <w:rFonts w:asciiTheme="minorBidi" w:hAnsiTheme="minorBidi"/>
          <w:sz w:val="20"/>
          <w:szCs w:val="20"/>
        </w:rPr>
        <w:t xml:space="preserve">d </w:t>
      </w:r>
      <w:r w:rsidR="00845802">
        <w:rPr>
          <w:rFonts w:asciiTheme="minorBidi" w:hAnsiTheme="minorBidi"/>
          <w:sz w:val="20"/>
          <w:szCs w:val="20"/>
        </w:rPr>
        <w:t>at all.</w:t>
      </w:r>
      <w:r w:rsidR="00CF2113" w:rsidRPr="006D7BFC">
        <w:rPr>
          <w:rFonts w:asciiTheme="minorBidi" w:hAnsiTheme="minorBidi"/>
          <w:sz w:val="20"/>
          <w:szCs w:val="20"/>
        </w:rPr>
        <w:t xml:space="preserve"> </w:t>
      </w:r>
    </w:p>
    <w:p w:rsidR="00CF2113" w:rsidRPr="006D7BFC" w:rsidRDefault="00CF2113" w:rsidP="004A6167">
      <w:pPr>
        <w:pStyle w:val="NoSpacing1"/>
        <w:suppressAutoHyphens/>
        <w:spacing w:line="270" w:lineRule="exact"/>
        <w:ind w:left="720"/>
        <w:jc w:val="both"/>
        <w:rPr>
          <w:rFonts w:asciiTheme="minorBidi" w:hAnsiTheme="minorBidi"/>
          <w:sz w:val="20"/>
          <w:szCs w:val="20"/>
        </w:rPr>
      </w:pPr>
    </w:p>
    <w:p w:rsidR="00CF2113" w:rsidRPr="006D7BFC" w:rsidRDefault="00845802" w:rsidP="004A6167">
      <w:pPr>
        <w:pStyle w:val="NoSpacing1"/>
        <w:suppressAutoHyphens/>
        <w:spacing w:line="270" w:lineRule="exact"/>
        <w:ind w:left="720"/>
        <w:jc w:val="both"/>
        <w:rPr>
          <w:rFonts w:asciiTheme="minorBidi" w:hAnsiTheme="minorBidi"/>
          <w:sz w:val="20"/>
          <w:szCs w:val="20"/>
        </w:rPr>
      </w:pPr>
      <w:r>
        <w:rPr>
          <w:rFonts w:asciiTheme="minorBidi" w:hAnsiTheme="minorBidi"/>
          <w:sz w:val="20"/>
          <w:szCs w:val="20"/>
        </w:rPr>
        <w:t>An important trend highlighted by the report</w:t>
      </w:r>
      <w:r w:rsidR="007644B0">
        <w:rPr>
          <w:rFonts w:asciiTheme="minorBidi" w:hAnsiTheme="minorBidi"/>
          <w:sz w:val="20"/>
          <w:szCs w:val="20"/>
        </w:rPr>
        <w:t xml:space="preserve"> </w:t>
      </w:r>
      <w:r>
        <w:rPr>
          <w:rFonts w:asciiTheme="minorBidi" w:hAnsiTheme="minorBidi"/>
          <w:sz w:val="20"/>
          <w:szCs w:val="20"/>
        </w:rPr>
        <w:t xml:space="preserve">is </w:t>
      </w:r>
      <w:r w:rsidR="00CF2113" w:rsidRPr="006D7BFC">
        <w:rPr>
          <w:rFonts w:asciiTheme="minorBidi" w:hAnsiTheme="minorBidi"/>
          <w:sz w:val="20"/>
          <w:szCs w:val="20"/>
        </w:rPr>
        <w:t>that 52.2</w:t>
      </w:r>
      <w:r>
        <w:rPr>
          <w:rFonts w:asciiTheme="minorBidi" w:hAnsiTheme="minorBidi"/>
          <w:sz w:val="20"/>
          <w:szCs w:val="20"/>
        </w:rPr>
        <w:t>%</w:t>
      </w:r>
      <w:r w:rsidR="00CF2113" w:rsidRPr="006D7BFC">
        <w:rPr>
          <w:rFonts w:asciiTheme="minorBidi" w:hAnsiTheme="minorBidi"/>
          <w:sz w:val="20"/>
          <w:szCs w:val="20"/>
        </w:rPr>
        <w:t xml:space="preserve"> of respondents said </w:t>
      </w:r>
      <w:r>
        <w:rPr>
          <w:rFonts w:asciiTheme="minorBidi" w:hAnsiTheme="minorBidi"/>
          <w:sz w:val="20"/>
          <w:szCs w:val="20"/>
        </w:rPr>
        <w:t xml:space="preserve">that </w:t>
      </w:r>
      <w:r w:rsidR="00CF2113" w:rsidRPr="006D7BFC">
        <w:rPr>
          <w:rFonts w:asciiTheme="minorBidi" w:hAnsiTheme="minorBidi"/>
          <w:sz w:val="20"/>
          <w:szCs w:val="20"/>
        </w:rPr>
        <w:t>average payment delays for overseas customers w</w:t>
      </w:r>
      <w:r>
        <w:rPr>
          <w:rFonts w:asciiTheme="minorBidi" w:hAnsiTheme="minorBidi"/>
          <w:sz w:val="20"/>
          <w:szCs w:val="20"/>
        </w:rPr>
        <w:t>ere</w:t>
      </w:r>
      <w:r w:rsidR="00CF2113" w:rsidRPr="006D7BFC">
        <w:rPr>
          <w:rFonts w:asciiTheme="minorBidi" w:hAnsiTheme="minorBidi"/>
          <w:sz w:val="20"/>
          <w:szCs w:val="20"/>
        </w:rPr>
        <w:t xml:space="preserve"> worse than</w:t>
      </w:r>
      <w:r>
        <w:rPr>
          <w:rFonts w:asciiTheme="minorBidi" w:hAnsiTheme="minorBidi"/>
          <w:sz w:val="20"/>
          <w:szCs w:val="20"/>
        </w:rPr>
        <w:t xml:space="preserve"> for </w:t>
      </w:r>
      <w:r w:rsidR="00CF2113" w:rsidRPr="006D7BFC">
        <w:rPr>
          <w:rFonts w:asciiTheme="minorBidi" w:hAnsiTheme="minorBidi"/>
          <w:sz w:val="20"/>
          <w:szCs w:val="20"/>
        </w:rPr>
        <w:t>domestic customers</w:t>
      </w:r>
      <w:r>
        <w:rPr>
          <w:rFonts w:asciiTheme="minorBidi" w:hAnsiTheme="minorBidi"/>
          <w:sz w:val="20"/>
          <w:szCs w:val="20"/>
        </w:rPr>
        <w:t>. This</w:t>
      </w:r>
      <w:r w:rsidR="00CF2113" w:rsidRPr="006D7BFC">
        <w:rPr>
          <w:rFonts w:asciiTheme="minorBidi" w:hAnsiTheme="minorBidi"/>
          <w:sz w:val="20"/>
          <w:szCs w:val="20"/>
        </w:rPr>
        <w:t xml:space="preserve"> </w:t>
      </w:r>
      <w:r w:rsidR="00FF7B6F">
        <w:rPr>
          <w:rFonts w:asciiTheme="minorBidi" w:hAnsiTheme="minorBidi"/>
          <w:sz w:val="20"/>
          <w:szCs w:val="20"/>
        </w:rPr>
        <w:t xml:space="preserve">is an </w:t>
      </w:r>
      <w:r w:rsidR="00CF2113" w:rsidRPr="006D7BFC">
        <w:rPr>
          <w:rFonts w:asciiTheme="minorBidi" w:hAnsiTheme="minorBidi"/>
          <w:sz w:val="20"/>
          <w:szCs w:val="20"/>
        </w:rPr>
        <w:t>indicat</w:t>
      </w:r>
      <w:r w:rsidR="00FF7B6F">
        <w:rPr>
          <w:rFonts w:asciiTheme="minorBidi" w:hAnsiTheme="minorBidi"/>
          <w:sz w:val="20"/>
          <w:szCs w:val="20"/>
        </w:rPr>
        <w:t>or of</w:t>
      </w:r>
      <w:r w:rsidR="00CF2113" w:rsidRPr="006D7BFC">
        <w:rPr>
          <w:rFonts w:asciiTheme="minorBidi" w:hAnsiTheme="minorBidi"/>
          <w:sz w:val="20"/>
          <w:szCs w:val="20"/>
        </w:rPr>
        <w:t xml:space="preserve"> tight financial conditions in foreign markets.</w:t>
      </w:r>
    </w:p>
    <w:p w:rsidR="00CF2113" w:rsidRPr="006D7BFC" w:rsidRDefault="00CF2113" w:rsidP="004A6167">
      <w:pPr>
        <w:pStyle w:val="NoSpacing1"/>
        <w:suppressAutoHyphens/>
        <w:spacing w:line="270" w:lineRule="exact"/>
        <w:jc w:val="both"/>
        <w:rPr>
          <w:rFonts w:asciiTheme="minorBidi" w:hAnsiTheme="minorBidi"/>
          <w:b/>
          <w:sz w:val="20"/>
          <w:szCs w:val="20"/>
        </w:rPr>
      </w:pPr>
    </w:p>
    <w:p w:rsidR="00CF2113" w:rsidRPr="006D7BFC" w:rsidRDefault="00CF2113" w:rsidP="004A6167">
      <w:pPr>
        <w:pStyle w:val="NoSpacing1"/>
        <w:suppressAutoHyphens/>
        <w:spacing w:line="270" w:lineRule="exact"/>
        <w:ind w:left="720"/>
        <w:jc w:val="both"/>
        <w:rPr>
          <w:rFonts w:asciiTheme="minorBidi" w:hAnsiTheme="minorBidi"/>
          <w:b/>
          <w:sz w:val="20"/>
          <w:szCs w:val="20"/>
        </w:rPr>
      </w:pPr>
      <w:r w:rsidRPr="006D7BFC">
        <w:rPr>
          <w:rFonts w:asciiTheme="minorBidi" w:hAnsiTheme="minorBidi"/>
          <w:b/>
          <w:sz w:val="20"/>
          <w:szCs w:val="20"/>
        </w:rPr>
        <w:t xml:space="preserve">Corporate </w:t>
      </w:r>
      <w:r w:rsidR="007644B0">
        <w:rPr>
          <w:rFonts w:asciiTheme="minorBidi" w:hAnsiTheme="minorBidi"/>
          <w:b/>
          <w:sz w:val="20"/>
          <w:szCs w:val="20"/>
        </w:rPr>
        <w:t>P</w:t>
      </w:r>
      <w:r w:rsidRPr="006D7BFC">
        <w:rPr>
          <w:rFonts w:asciiTheme="minorBidi" w:hAnsiTheme="minorBidi"/>
          <w:b/>
          <w:sz w:val="20"/>
          <w:szCs w:val="20"/>
        </w:rPr>
        <w:t xml:space="preserve">ayment </w:t>
      </w:r>
      <w:r w:rsidR="007644B0">
        <w:rPr>
          <w:rFonts w:asciiTheme="minorBidi" w:hAnsiTheme="minorBidi"/>
          <w:b/>
          <w:sz w:val="20"/>
          <w:szCs w:val="20"/>
        </w:rPr>
        <w:t>E</w:t>
      </w:r>
      <w:r w:rsidRPr="006D7BFC">
        <w:rPr>
          <w:rFonts w:asciiTheme="minorBidi" w:hAnsiTheme="minorBidi"/>
          <w:b/>
          <w:sz w:val="20"/>
          <w:szCs w:val="20"/>
        </w:rPr>
        <w:t>xperience</w:t>
      </w:r>
      <w:r w:rsidR="006C1E30">
        <w:rPr>
          <w:rFonts w:asciiTheme="minorBidi" w:hAnsiTheme="minorBidi"/>
          <w:b/>
          <w:sz w:val="20"/>
          <w:szCs w:val="20"/>
        </w:rPr>
        <w:t xml:space="preserve">: </w:t>
      </w:r>
      <w:r w:rsidR="007644B0">
        <w:rPr>
          <w:rFonts w:asciiTheme="minorBidi" w:hAnsiTheme="minorBidi"/>
          <w:b/>
          <w:sz w:val="20"/>
          <w:szCs w:val="20"/>
        </w:rPr>
        <w:t>A</w:t>
      </w:r>
      <w:r w:rsidR="006C1E30">
        <w:rPr>
          <w:rFonts w:asciiTheme="minorBidi" w:hAnsiTheme="minorBidi"/>
          <w:b/>
          <w:sz w:val="20"/>
          <w:szCs w:val="20"/>
        </w:rPr>
        <w:t xml:space="preserve">verage </w:t>
      </w:r>
      <w:r w:rsidR="007644B0">
        <w:rPr>
          <w:rFonts w:asciiTheme="minorBidi" w:hAnsiTheme="minorBidi"/>
          <w:b/>
          <w:sz w:val="20"/>
          <w:szCs w:val="20"/>
        </w:rPr>
        <w:t>P</w:t>
      </w:r>
      <w:r w:rsidR="006C1E30">
        <w:rPr>
          <w:rFonts w:asciiTheme="minorBidi" w:hAnsiTheme="minorBidi"/>
          <w:b/>
          <w:sz w:val="20"/>
          <w:szCs w:val="20"/>
        </w:rPr>
        <w:t xml:space="preserve">ayment </w:t>
      </w:r>
      <w:r w:rsidR="007644B0">
        <w:rPr>
          <w:rFonts w:asciiTheme="minorBidi" w:hAnsiTheme="minorBidi"/>
          <w:b/>
          <w:sz w:val="20"/>
          <w:szCs w:val="20"/>
        </w:rPr>
        <w:t>T</w:t>
      </w:r>
      <w:r w:rsidR="006C1E30">
        <w:rPr>
          <w:rFonts w:asciiTheme="minorBidi" w:hAnsiTheme="minorBidi"/>
          <w:b/>
          <w:sz w:val="20"/>
          <w:szCs w:val="20"/>
        </w:rPr>
        <w:t xml:space="preserve">erms between 60 and 90 </w:t>
      </w:r>
      <w:r w:rsidR="007644B0">
        <w:rPr>
          <w:rFonts w:asciiTheme="minorBidi" w:hAnsiTheme="minorBidi"/>
          <w:b/>
          <w:sz w:val="20"/>
          <w:szCs w:val="20"/>
        </w:rPr>
        <w:t>D</w:t>
      </w:r>
      <w:r w:rsidR="006C1E30">
        <w:rPr>
          <w:rFonts w:asciiTheme="minorBidi" w:hAnsiTheme="minorBidi"/>
          <w:b/>
          <w:sz w:val="20"/>
          <w:szCs w:val="20"/>
        </w:rPr>
        <w:t xml:space="preserve">ays for </w:t>
      </w:r>
      <w:r w:rsidR="007644B0">
        <w:rPr>
          <w:rFonts w:asciiTheme="minorBidi" w:hAnsiTheme="minorBidi"/>
          <w:b/>
          <w:sz w:val="20"/>
          <w:szCs w:val="20"/>
        </w:rPr>
        <w:t>B</w:t>
      </w:r>
      <w:r w:rsidR="006C1E30">
        <w:rPr>
          <w:rFonts w:asciiTheme="minorBidi" w:hAnsiTheme="minorBidi"/>
          <w:b/>
          <w:sz w:val="20"/>
          <w:szCs w:val="20"/>
        </w:rPr>
        <w:t xml:space="preserve">oth </w:t>
      </w:r>
      <w:r w:rsidR="007644B0">
        <w:rPr>
          <w:rFonts w:asciiTheme="minorBidi" w:hAnsiTheme="minorBidi"/>
          <w:b/>
          <w:sz w:val="20"/>
          <w:szCs w:val="20"/>
        </w:rPr>
        <w:t>D</w:t>
      </w:r>
      <w:r w:rsidR="006C1E30">
        <w:rPr>
          <w:rFonts w:asciiTheme="minorBidi" w:hAnsiTheme="minorBidi"/>
          <w:b/>
          <w:sz w:val="20"/>
          <w:szCs w:val="20"/>
        </w:rPr>
        <w:t xml:space="preserve">omestic </w:t>
      </w:r>
      <w:r w:rsidR="007644B0">
        <w:rPr>
          <w:rFonts w:asciiTheme="minorBidi" w:hAnsiTheme="minorBidi"/>
          <w:b/>
          <w:sz w:val="20"/>
          <w:szCs w:val="20"/>
        </w:rPr>
        <w:t>C</w:t>
      </w:r>
      <w:r w:rsidR="006C1E30">
        <w:rPr>
          <w:rFonts w:asciiTheme="minorBidi" w:hAnsiTheme="minorBidi"/>
          <w:b/>
          <w:sz w:val="20"/>
          <w:szCs w:val="20"/>
        </w:rPr>
        <w:t xml:space="preserve">ompanies and </w:t>
      </w:r>
      <w:r w:rsidR="007644B0">
        <w:rPr>
          <w:rFonts w:asciiTheme="minorBidi" w:hAnsiTheme="minorBidi"/>
          <w:b/>
          <w:sz w:val="20"/>
          <w:szCs w:val="20"/>
        </w:rPr>
        <w:t>E</w:t>
      </w:r>
      <w:r w:rsidR="006C1E30">
        <w:rPr>
          <w:rFonts w:asciiTheme="minorBidi" w:hAnsiTheme="minorBidi"/>
          <w:b/>
          <w:sz w:val="20"/>
          <w:szCs w:val="20"/>
        </w:rPr>
        <w:t>xporters</w:t>
      </w:r>
    </w:p>
    <w:p w:rsidR="00CF2113" w:rsidRPr="006D7BFC" w:rsidRDefault="00CF2113" w:rsidP="004A6167">
      <w:pPr>
        <w:pStyle w:val="NoSpacing1"/>
        <w:suppressAutoHyphens/>
        <w:spacing w:line="270" w:lineRule="exact"/>
        <w:ind w:left="720"/>
        <w:jc w:val="both"/>
        <w:rPr>
          <w:rFonts w:asciiTheme="minorBidi" w:hAnsiTheme="minorBidi"/>
          <w:sz w:val="20"/>
          <w:szCs w:val="20"/>
        </w:rPr>
      </w:pPr>
    </w:p>
    <w:p w:rsidR="00CF2113" w:rsidRPr="006D7BFC" w:rsidRDefault="0045572F" w:rsidP="004A6167">
      <w:pPr>
        <w:pStyle w:val="NoSpacing1"/>
        <w:suppressAutoHyphens/>
        <w:spacing w:line="270" w:lineRule="exact"/>
        <w:ind w:left="720"/>
        <w:jc w:val="both"/>
        <w:rPr>
          <w:rFonts w:asciiTheme="minorBidi" w:hAnsiTheme="minorBidi"/>
          <w:sz w:val="20"/>
          <w:szCs w:val="20"/>
        </w:rPr>
      </w:pPr>
      <w:r w:rsidRPr="00DE625C">
        <w:rPr>
          <w:rFonts w:asciiTheme="minorBidi" w:hAnsiTheme="minorBidi"/>
          <w:sz w:val="20"/>
          <w:szCs w:val="20"/>
        </w:rPr>
        <w:t>Over</w:t>
      </w:r>
      <w:r w:rsidR="00CF2113" w:rsidRPr="00DE625C">
        <w:rPr>
          <w:rFonts w:asciiTheme="minorBidi" w:hAnsiTheme="minorBidi"/>
          <w:sz w:val="20"/>
          <w:szCs w:val="20"/>
        </w:rPr>
        <w:t xml:space="preserve"> half of</w:t>
      </w:r>
      <w:r w:rsidRPr="00DE625C">
        <w:rPr>
          <w:rFonts w:asciiTheme="minorBidi" w:hAnsiTheme="minorBidi"/>
          <w:sz w:val="20"/>
          <w:szCs w:val="20"/>
        </w:rPr>
        <w:t xml:space="preserve"> the</w:t>
      </w:r>
      <w:r w:rsidR="00CF2113" w:rsidRPr="00DE625C">
        <w:rPr>
          <w:rFonts w:asciiTheme="minorBidi" w:hAnsiTheme="minorBidi"/>
          <w:sz w:val="20"/>
          <w:szCs w:val="20"/>
        </w:rPr>
        <w:t xml:space="preserve"> exporters said </w:t>
      </w:r>
      <w:r w:rsidRPr="00DE625C">
        <w:rPr>
          <w:rFonts w:asciiTheme="minorBidi" w:hAnsiTheme="minorBidi"/>
          <w:sz w:val="20"/>
          <w:szCs w:val="20"/>
        </w:rPr>
        <w:t xml:space="preserve">that </w:t>
      </w:r>
      <w:r w:rsidR="00CF2113" w:rsidRPr="00DE625C">
        <w:rPr>
          <w:rFonts w:asciiTheme="minorBidi" w:hAnsiTheme="minorBidi"/>
          <w:sz w:val="20"/>
          <w:szCs w:val="20"/>
        </w:rPr>
        <w:t>the UAE has the best payme</w:t>
      </w:r>
      <w:r w:rsidR="004E68BF" w:rsidRPr="00DE625C">
        <w:rPr>
          <w:rFonts w:asciiTheme="minorBidi" w:hAnsiTheme="minorBidi"/>
          <w:sz w:val="20"/>
          <w:szCs w:val="20"/>
        </w:rPr>
        <w:t>nt terms</w:t>
      </w:r>
      <w:r w:rsidR="006D6F54">
        <w:rPr>
          <w:rFonts w:asciiTheme="minorBidi" w:hAnsiTheme="minorBidi"/>
          <w:sz w:val="20"/>
          <w:szCs w:val="20"/>
        </w:rPr>
        <w:t xml:space="preserve"> in the region</w:t>
      </w:r>
      <w:r w:rsidRPr="00DE625C">
        <w:rPr>
          <w:rFonts w:asciiTheme="minorBidi" w:hAnsiTheme="minorBidi"/>
          <w:sz w:val="20"/>
          <w:szCs w:val="20"/>
        </w:rPr>
        <w:t>,</w:t>
      </w:r>
      <w:r w:rsidR="004E68BF" w:rsidRPr="00DE625C">
        <w:rPr>
          <w:rFonts w:asciiTheme="minorBidi" w:hAnsiTheme="minorBidi"/>
          <w:sz w:val="20"/>
          <w:szCs w:val="20"/>
        </w:rPr>
        <w:t xml:space="preserve"> whil</w:t>
      </w:r>
      <w:r w:rsidRPr="00DE625C">
        <w:rPr>
          <w:rFonts w:asciiTheme="minorBidi" w:hAnsiTheme="minorBidi"/>
          <w:sz w:val="20"/>
          <w:szCs w:val="20"/>
        </w:rPr>
        <w:t>e</w:t>
      </w:r>
      <w:r w:rsidR="00CF2113" w:rsidRPr="00DE625C">
        <w:rPr>
          <w:rFonts w:asciiTheme="minorBidi" w:hAnsiTheme="minorBidi"/>
          <w:sz w:val="20"/>
          <w:szCs w:val="20"/>
        </w:rPr>
        <w:t xml:space="preserve"> </w:t>
      </w:r>
      <w:r w:rsidR="009E439F" w:rsidRPr="00DE625C">
        <w:rPr>
          <w:rFonts w:asciiTheme="minorBidi" w:hAnsiTheme="minorBidi"/>
          <w:sz w:val="20"/>
          <w:szCs w:val="20"/>
        </w:rPr>
        <w:t>36.8</w:t>
      </w:r>
      <w:r w:rsidRPr="00DE625C">
        <w:rPr>
          <w:rFonts w:asciiTheme="minorBidi" w:hAnsiTheme="minorBidi"/>
          <w:sz w:val="20"/>
          <w:szCs w:val="20"/>
        </w:rPr>
        <w:t>%</w:t>
      </w:r>
      <w:r w:rsidR="009E439F" w:rsidRPr="00DE625C">
        <w:rPr>
          <w:rFonts w:asciiTheme="minorBidi" w:hAnsiTheme="minorBidi"/>
          <w:sz w:val="20"/>
          <w:szCs w:val="20"/>
        </w:rPr>
        <w:t xml:space="preserve"> </w:t>
      </w:r>
      <w:r w:rsidR="00CF2113" w:rsidRPr="00DE625C">
        <w:rPr>
          <w:rFonts w:asciiTheme="minorBidi" w:hAnsiTheme="minorBidi"/>
          <w:sz w:val="20"/>
          <w:szCs w:val="20"/>
        </w:rPr>
        <w:t xml:space="preserve">qualified the </w:t>
      </w:r>
      <w:r w:rsidR="006D6F54">
        <w:rPr>
          <w:rFonts w:asciiTheme="minorBidi" w:hAnsiTheme="minorBidi"/>
          <w:sz w:val="20"/>
          <w:szCs w:val="20"/>
        </w:rPr>
        <w:t>whole</w:t>
      </w:r>
      <w:r w:rsidR="006D6F54" w:rsidRPr="00DE625C">
        <w:rPr>
          <w:rFonts w:asciiTheme="minorBidi" w:hAnsiTheme="minorBidi"/>
          <w:sz w:val="20"/>
          <w:szCs w:val="20"/>
        </w:rPr>
        <w:t xml:space="preserve"> </w:t>
      </w:r>
      <w:r w:rsidRPr="00DE625C">
        <w:rPr>
          <w:rFonts w:asciiTheme="minorBidi" w:hAnsiTheme="minorBidi"/>
          <w:sz w:val="20"/>
          <w:szCs w:val="20"/>
        </w:rPr>
        <w:t>of the</w:t>
      </w:r>
      <w:r w:rsidR="00CF2113" w:rsidRPr="00DE625C">
        <w:rPr>
          <w:rFonts w:asciiTheme="minorBidi" w:hAnsiTheme="minorBidi"/>
          <w:sz w:val="20"/>
          <w:szCs w:val="20"/>
        </w:rPr>
        <w:t xml:space="preserve"> GCC </w:t>
      </w:r>
      <w:r w:rsidRPr="00DE625C">
        <w:rPr>
          <w:rFonts w:asciiTheme="minorBidi" w:hAnsiTheme="minorBidi"/>
          <w:sz w:val="20"/>
          <w:szCs w:val="20"/>
        </w:rPr>
        <w:t>as having</w:t>
      </w:r>
      <w:r w:rsidR="00CF2113" w:rsidRPr="00DE625C">
        <w:rPr>
          <w:rFonts w:asciiTheme="minorBidi" w:hAnsiTheme="minorBidi"/>
          <w:sz w:val="20"/>
          <w:szCs w:val="20"/>
        </w:rPr>
        <w:t xml:space="preserve"> the longest payment terms.</w:t>
      </w:r>
    </w:p>
    <w:p w:rsidR="00CF2113" w:rsidRPr="006D7BFC" w:rsidRDefault="00CF2113" w:rsidP="004A6167">
      <w:pPr>
        <w:pStyle w:val="NoSpacing1"/>
        <w:suppressAutoHyphens/>
        <w:spacing w:line="270" w:lineRule="exact"/>
        <w:jc w:val="both"/>
        <w:rPr>
          <w:rFonts w:asciiTheme="minorBidi" w:hAnsiTheme="minorBidi"/>
          <w:sz w:val="20"/>
          <w:szCs w:val="20"/>
        </w:rPr>
      </w:pPr>
    </w:p>
    <w:p w:rsidR="00CF2113" w:rsidRPr="006D7BFC" w:rsidRDefault="00CF2113" w:rsidP="004A6167">
      <w:pPr>
        <w:pStyle w:val="NoSpacing1"/>
        <w:suppressAutoHyphens/>
        <w:spacing w:line="270" w:lineRule="exact"/>
        <w:ind w:left="720"/>
        <w:jc w:val="both"/>
        <w:rPr>
          <w:rFonts w:asciiTheme="minorBidi" w:hAnsiTheme="minorBidi"/>
          <w:sz w:val="20"/>
          <w:szCs w:val="20"/>
        </w:rPr>
      </w:pPr>
      <w:r w:rsidRPr="006D7BFC">
        <w:rPr>
          <w:rFonts w:asciiTheme="minorBidi" w:hAnsiTheme="minorBidi"/>
          <w:sz w:val="20"/>
          <w:szCs w:val="20"/>
        </w:rPr>
        <w:t>For exporters, the most frequent payment period</w:t>
      </w:r>
      <w:r w:rsidR="00F16335">
        <w:rPr>
          <w:rFonts w:asciiTheme="minorBidi" w:hAnsiTheme="minorBidi"/>
          <w:sz w:val="20"/>
          <w:szCs w:val="20"/>
        </w:rPr>
        <w:t xml:space="preserve">s </w:t>
      </w:r>
      <w:r w:rsidRPr="006D7BFC">
        <w:rPr>
          <w:rFonts w:asciiTheme="minorBidi" w:hAnsiTheme="minorBidi"/>
          <w:sz w:val="20"/>
          <w:szCs w:val="20"/>
        </w:rPr>
        <w:t>during the last six months were 60 days (39.1</w:t>
      </w:r>
      <w:r w:rsidR="00F16335">
        <w:rPr>
          <w:rFonts w:asciiTheme="minorBidi" w:hAnsiTheme="minorBidi"/>
          <w:sz w:val="20"/>
          <w:szCs w:val="20"/>
        </w:rPr>
        <w:t>%</w:t>
      </w:r>
      <w:r w:rsidRPr="006D7BFC">
        <w:rPr>
          <w:rFonts w:asciiTheme="minorBidi" w:hAnsiTheme="minorBidi"/>
          <w:sz w:val="20"/>
          <w:szCs w:val="20"/>
        </w:rPr>
        <w:t>) and 90 days (30.43</w:t>
      </w:r>
      <w:r w:rsidR="00F16335">
        <w:rPr>
          <w:rFonts w:asciiTheme="minorBidi" w:hAnsiTheme="minorBidi"/>
          <w:sz w:val="20"/>
          <w:szCs w:val="20"/>
        </w:rPr>
        <w:t>%</w:t>
      </w:r>
      <w:r w:rsidRPr="006D7BFC">
        <w:rPr>
          <w:rFonts w:asciiTheme="minorBidi" w:hAnsiTheme="minorBidi"/>
          <w:sz w:val="20"/>
          <w:szCs w:val="20"/>
        </w:rPr>
        <w:t>). Almost 35</w:t>
      </w:r>
      <w:r w:rsidR="00F16335">
        <w:rPr>
          <w:rFonts w:asciiTheme="minorBidi" w:hAnsiTheme="minorBidi"/>
          <w:sz w:val="20"/>
          <w:szCs w:val="20"/>
        </w:rPr>
        <w:t>%</w:t>
      </w:r>
      <w:r w:rsidRPr="006D7BFC">
        <w:rPr>
          <w:rFonts w:asciiTheme="minorBidi" w:hAnsiTheme="minorBidi"/>
          <w:sz w:val="20"/>
          <w:szCs w:val="20"/>
        </w:rPr>
        <w:t xml:space="preserve"> of the respondents said </w:t>
      </w:r>
      <w:r w:rsidR="00F16335">
        <w:rPr>
          <w:rFonts w:asciiTheme="minorBidi" w:hAnsiTheme="minorBidi"/>
          <w:sz w:val="20"/>
          <w:szCs w:val="20"/>
        </w:rPr>
        <w:t xml:space="preserve">that </w:t>
      </w:r>
      <w:r w:rsidRPr="006D7BFC">
        <w:rPr>
          <w:rFonts w:asciiTheme="minorBidi" w:hAnsiTheme="minorBidi"/>
          <w:sz w:val="20"/>
          <w:szCs w:val="20"/>
        </w:rPr>
        <w:t>maximu</w:t>
      </w:r>
      <w:r w:rsidR="0081658D">
        <w:rPr>
          <w:rFonts w:asciiTheme="minorBidi" w:hAnsiTheme="minorBidi"/>
          <w:sz w:val="20"/>
          <w:szCs w:val="20"/>
        </w:rPr>
        <w:t>m payment term</w:t>
      </w:r>
      <w:r w:rsidR="00F16335">
        <w:rPr>
          <w:rFonts w:asciiTheme="minorBidi" w:hAnsiTheme="minorBidi"/>
          <w:sz w:val="20"/>
          <w:szCs w:val="20"/>
        </w:rPr>
        <w:t>s</w:t>
      </w:r>
      <w:r w:rsidR="0081658D">
        <w:rPr>
          <w:rFonts w:asciiTheme="minorBidi" w:hAnsiTheme="minorBidi"/>
          <w:sz w:val="20"/>
          <w:szCs w:val="20"/>
        </w:rPr>
        <w:t xml:space="preserve"> during the last six</w:t>
      </w:r>
      <w:r w:rsidRPr="006D7BFC">
        <w:rPr>
          <w:rFonts w:asciiTheme="minorBidi" w:hAnsiTheme="minorBidi"/>
          <w:sz w:val="20"/>
          <w:szCs w:val="20"/>
        </w:rPr>
        <w:t xml:space="preserve"> months were 120 days</w:t>
      </w:r>
      <w:r w:rsidR="00F16335">
        <w:rPr>
          <w:rFonts w:asciiTheme="minorBidi" w:hAnsiTheme="minorBidi"/>
          <w:sz w:val="20"/>
          <w:szCs w:val="20"/>
        </w:rPr>
        <w:t xml:space="preserve">, while </w:t>
      </w:r>
      <w:r w:rsidRPr="006D7BFC">
        <w:rPr>
          <w:rFonts w:asciiTheme="minorBidi" w:hAnsiTheme="minorBidi"/>
          <w:sz w:val="20"/>
          <w:szCs w:val="20"/>
        </w:rPr>
        <w:t>26.1</w:t>
      </w:r>
      <w:r w:rsidR="00F16335">
        <w:rPr>
          <w:rFonts w:asciiTheme="minorBidi" w:hAnsiTheme="minorBidi"/>
          <w:sz w:val="20"/>
          <w:szCs w:val="20"/>
        </w:rPr>
        <w:t>%</w:t>
      </w:r>
      <w:r w:rsidRPr="006D7BFC">
        <w:rPr>
          <w:rFonts w:asciiTheme="minorBidi" w:hAnsiTheme="minorBidi"/>
          <w:sz w:val="20"/>
          <w:szCs w:val="20"/>
        </w:rPr>
        <w:t xml:space="preserve"> said th</w:t>
      </w:r>
      <w:r w:rsidR="00546F89">
        <w:rPr>
          <w:rFonts w:asciiTheme="minorBidi" w:hAnsiTheme="minorBidi"/>
          <w:sz w:val="20"/>
          <w:szCs w:val="20"/>
        </w:rPr>
        <w:t>at</w:t>
      </w:r>
      <w:r w:rsidRPr="006D7BFC">
        <w:rPr>
          <w:rFonts w:asciiTheme="minorBidi" w:hAnsiTheme="minorBidi"/>
          <w:sz w:val="20"/>
          <w:szCs w:val="20"/>
        </w:rPr>
        <w:t xml:space="preserve"> maximum payment term</w:t>
      </w:r>
      <w:r w:rsidR="00546F89">
        <w:rPr>
          <w:rFonts w:asciiTheme="minorBidi" w:hAnsiTheme="minorBidi"/>
          <w:sz w:val="20"/>
          <w:szCs w:val="20"/>
        </w:rPr>
        <w:t>s were</w:t>
      </w:r>
      <w:r w:rsidRPr="006D7BFC">
        <w:rPr>
          <w:rFonts w:asciiTheme="minorBidi" w:hAnsiTheme="minorBidi"/>
          <w:sz w:val="20"/>
          <w:szCs w:val="20"/>
        </w:rPr>
        <w:t xml:space="preserve"> 180 days </w:t>
      </w:r>
      <w:r w:rsidR="00F16335">
        <w:rPr>
          <w:rFonts w:asciiTheme="minorBidi" w:hAnsiTheme="minorBidi"/>
          <w:sz w:val="20"/>
          <w:szCs w:val="20"/>
        </w:rPr>
        <w:t xml:space="preserve">or </w:t>
      </w:r>
      <w:r w:rsidRPr="006D7BFC">
        <w:rPr>
          <w:rFonts w:asciiTheme="minorBidi" w:hAnsiTheme="minorBidi"/>
          <w:sz w:val="20"/>
          <w:szCs w:val="20"/>
        </w:rPr>
        <w:t>more (ultra-long overdue amounts).</w:t>
      </w:r>
    </w:p>
    <w:p w:rsidR="00CF2113" w:rsidRPr="006D7BFC" w:rsidRDefault="00CF2113" w:rsidP="004A6167">
      <w:pPr>
        <w:pStyle w:val="NoSpacing1"/>
        <w:suppressAutoHyphens/>
        <w:spacing w:line="270" w:lineRule="exact"/>
        <w:ind w:left="720"/>
        <w:jc w:val="both"/>
        <w:rPr>
          <w:rFonts w:asciiTheme="minorBidi" w:hAnsiTheme="minorBidi"/>
          <w:b/>
          <w:sz w:val="20"/>
          <w:szCs w:val="20"/>
        </w:rPr>
      </w:pPr>
    </w:p>
    <w:p w:rsidR="00CF2113" w:rsidRPr="004A6167" w:rsidRDefault="00CF2113" w:rsidP="004A6167">
      <w:pPr>
        <w:pStyle w:val="NoSpacing1"/>
        <w:suppressAutoHyphens/>
        <w:spacing w:line="270" w:lineRule="exact"/>
        <w:ind w:left="720"/>
        <w:jc w:val="both"/>
        <w:rPr>
          <w:rFonts w:asciiTheme="minorBidi" w:hAnsiTheme="minorBidi"/>
          <w:b/>
          <w:sz w:val="18"/>
          <w:szCs w:val="18"/>
        </w:rPr>
      </w:pPr>
      <w:r w:rsidRPr="004A6167">
        <w:rPr>
          <w:rFonts w:asciiTheme="minorBidi" w:hAnsiTheme="minorBidi"/>
          <w:b/>
          <w:sz w:val="18"/>
          <w:szCs w:val="18"/>
        </w:rPr>
        <w:t xml:space="preserve">Average </w:t>
      </w:r>
      <w:r w:rsidR="007644B0">
        <w:rPr>
          <w:rFonts w:asciiTheme="minorBidi" w:hAnsiTheme="minorBidi"/>
          <w:b/>
          <w:sz w:val="18"/>
          <w:szCs w:val="18"/>
        </w:rPr>
        <w:t>P</w:t>
      </w:r>
      <w:r w:rsidRPr="004A6167">
        <w:rPr>
          <w:rFonts w:asciiTheme="minorBidi" w:hAnsiTheme="minorBidi"/>
          <w:b/>
          <w:sz w:val="18"/>
          <w:szCs w:val="18"/>
        </w:rPr>
        <w:t xml:space="preserve">ayment </w:t>
      </w:r>
      <w:r w:rsidR="007644B0">
        <w:rPr>
          <w:rFonts w:asciiTheme="minorBidi" w:hAnsiTheme="minorBidi"/>
          <w:b/>
          <w:sz w:val="18"/>
          <w:szCs w:val="18"/>
        </w:rPr>
        <w:t>P</w:t>
      </w:r>
      <w:r w:rsidRPr="004A6167">
        <w:rPr>
          <w:rFonts w:asciiTheme="minorBidi" w:hAnsiTheme="minorBidi"/>
          <w:b/>
          <w:sz w:val="18"/>
          <w:szCs w:val="18"/>
        </w:rPr>
        <w:t xml:space="preserve">eriods by </w:t>
      </w:r>
      <w:r w:rsidR="007644B0">
        <w:rPr>
          <w:rFonts w:asciiTheme="minorBidi" w:hAnsiTheme="minorBidi"/>
          <w:b/>
          <w:sz w:val="18"/>
          <w:szCs w:val="18"/>
        </w:rPr>
        <w:t>Sector</w:t>
      </w:r>
      <w:r w:rsidRPr="004A6167">
        <w:rPr>
          <w:rFonts w:asciiTheme="minorBidi" w:hAnsiTheme="minorBidi"/>
          <w:b/>
          <w:sz w:val="18"/>
          <w:szCs w:val="18"/>
        </w:rPr>
        <w:t xml:space="preserve"> in 2016</w:t>
      </w:r>
    </w:p>
    <w:p w:rsidR="00CF2113" w:rsidRPr="006D7BFC" w:rsidRDefault="00CF2113" w:rsidP="004A6167">
      <w:pPr>
        <w:pStyle w:val="NoSpacing1"/>
        <w:suppressAutoHyphens/>
        <w:spacing w:line="270" w:lineRule="exact"/>
        <w:ind w:left="720"/>
        <w:jc w:val="both"/>
        <w:rPr>
          <w:rFonts w:asciiTheme="minorBidi" w:hAnsiTheme="minorBidi"/>
          <w:sz w:val="20"/>
          <w:szCs w:val="20"/>
        </w:rPr>
      </w:pPr>
      <w:r w:rsidRPr="004A6167">
        <w:rPr>
          <w:rFonts w:asciiTheme="minorBidi" w:hAnsiTheme="minorBidi"/>
          <w:b/>
          <w:sz w:val="18"/>
          <w:szCs w:val="18"/>
          <w:u w:val="single"/>
        </w:rPr>
        <w:t>For exporters</w:t>
      </w:r>
      <w:r w:rsidRPr="007644B0">
        <w:rPr>
          <w:rFonts w:asciiTheme="minorBidi" w:hAnsiTheme="minorBidi"/>
          <w:b/>
          <w:sz w:val="18"/>
          <w:szCs w:val="18"/>
        </w:rPr>
        <w:t xml:space="preserve"> </w:t>
      </w:r>
      <w:r w:rsidRPr="004A6167">
        <w:rPr>
          <w:rFonts w:asciiTheme="minorBidi" w:hAnsiTheme="minorBidi"/>
          <w:b/>
          <w:sz w:val="18"/>
          <w:szCs w:val="18"/>
        </w:rPr>
        <w:t>(% of respondents)</w:t>
      </w:r>
    </w:p>
    <w:tbl>
      <w:tblPr>
        <w:tblStyle w:val="TableGrid"/>
        <w:tblW w:w="8640" w:type="dxa"/>
        <w:tblInd w:w="828" w:type="dxa"/>
        <w:tblLayout w:type="fixed"/>
        <w:tblLook w:val="04A0" w:firstRow="1" w:lastRow="0" w:firstColumn="1" w:lastColumn="0" w:noHBand="0" w:noVBand="1"/>
      </w:tblPr>
      <w:tblGrid>
        <w:gridCol w:w="1440"/>
        <w:gridCol w:w="1350"/>
        <w:gridCol w:w="1350"/>
        <w:gridCol w:w="1350"/>
        <w:gridCol w:w="1440"/>
        <w:gridCol w:w="1710"/>
      </w:tblGrid>
      <w:tr w:rsidR="00CF2113" w:rsidRPr="006D7BFC" w:rsidTr="003C74A1">
        <w:trPr>
          <w:trHeight w:val="449"/>
        </w:trPr>
        <w:tc>
          <w:tcPr>
            <w:tcW w:w="1440" w:type="dxa"/>
          </w:tcPr>
          <w:p w:rsidR="00CF2113" w:rsidRPr="006D7BFC" w:rsidRDefault="00CF2113" w:rsidP="004A6167">
            <w:pPr>
              <w:pStyle w:val="NoSpacing1"/>
              <w:suppressAutoHyphens/>
              <w:spacing w:line="270" w:lineRule="exact"/>
              <w:jc w:val="center"/>
              <w:rPr>
                <w:rFonts w:asciiTheme="minorBidi" w:hAnsiTheme="minorBidi"/>
                <w:b/>
                <w:sz w:val="20"/>
                <w:szCs w:val="20"/>
              </w:rPr>
            </w:pPr>
            <w:r w:rsidRPr="006D7BFC">
              <w:rPr>
                <w:rFonts w:asciiTheme="minorBidi" w:hAnsiTheme="minorBidi"/>
                <w:b/>
                <w:sz w:val="20"/>
                <w:szCs w:val="20"/>
              </w:rPr>
              <w:t>Economic</w:t>
            </w:r>
          </w:p>
          <w:p w:rsidR="00CF2113" w:rsidRPr="006D7BFC" w:rsidRDefault="00CF2113" w:rsidP="004A6167">
            <w:pPr>
              <w:pStyle w:val="NoSpacing1"/>
              <w:suppressAutoHyphens/>
              <w:spacing w:line="270" w:lineRule="exact"/>
              <w:jc w:val="center"/>
              <w:rPr>
                <w:rFonts w:asciiTheme="minorBidi" w:hAnsiTheme="minorBidi"/>
                <w:b/>
                <w:sz w:val="20"/>
                <w:szCs w:val="20"/>
              </w:rPr>
            </w:pPr>
            <w:r w:rsidRPr="006D7BFC">
              <w:rPr>
                <w:rFonts w:asciiTheme="minorBidi" w:hAnsiTheme="minorBidi"/>
                <w:b/>
                <w:sz w:val="20"/>
                <w:szCs w:val="20"/>
              </w:rPr>
              <w:t>Activity</w:t>
            </w:r>
          </w:p>
        </w:tc>
        <w:tc>
          <w:tcPr>
            <w:tcW w:w="1350" w:type="dxa"/>
          </w:tcPr>
          <w:p w:rsidR="00CF2113" w:rsidRPr="006D7BFC" w:rsidRDefault="00CF2113" w:rsidP="004A6167">
            <w:pPr>
              <w:pStyle w:val="NoSpacing1"/>
              <w:suppressAutoHyphens/>
              <w:spacing w:line="270" w:lineRule="exact"/>
              <w:jc w:val="center"/>
              <w:rPr>
                <w:rFonts w:asciiTheme="minorBidi" w:hAnsiTheme="minorBidi"/>
                <w:b/>
                <w:sz w:val="20"/>
                <w:szCs w:val="20"/>
              </w:rPr>
            </w:pPr>
            <w:r w:rsidRPr="006D7BFC">
              <w:rPr>
                <w:rFonts w:asciiTheme="minorBidi" w:hAnsiTheme="minorBidi"/>
                <w:b/>
                <w:sz w:val="20"/>
                <w:szCs w:val="20"/>
              </w:rPr>
              <w:t>30 Days</w:t>
            </w:r>
          </w:p>
        </w:tc>
        <w:tc>
          <w:tcPr>
            <w:tcW w:w="1350" w:type="dxa"/>
          </w:tcPr>
          <w:p w:rsidR="00CF2113" w:rsidRPr="006D7BFC" w:rsidRDefault="00CF2113" w:rsidP="004A6167">
            <w:pPr>
              <w:pStyle w:val="NoSpacing1"/>
              <w:suppressAutoHyphens/>
              <w:spacing w:line="270" w:lineRule="exact"/>
              <w:jc w:val="center"/>
              <w:rPr>
                <w:rFonts w:asciiTheme="minorBidi" w:hAnsiTheme="minorBidi"/>
                <w:b/>
                <w:sz w:val="20"/>
                <w:szCs w:val="20"/>
              </w:rPr>
            </w:pPr>
            <w:r w:rsidRPr="006D7BFC">
              <w:rPr>
                <w:rFonts w:asciiTheme="minorBidi" w:hAnsiTheme="minorBidi"/>
                <w:b/>
                <w:sz w:val="20"/>
                <w:szCs w:val="20"/>
              </w:rPr>
              <w:t>60 Days</w:t>
            </w:r>
          </w:p>
        </w:tc>
        <w:tc>
          <w:tcPr>
            <w:tcW w:w="1350" w:type="dxa"/>
          </w:tcPr>
          <w:p w:rsidR="00CF2113" w:rsidRPr="006D7BFC" w:rsidRDefault="00CF2113" w:rsidP="004A6167">
            <w:pPr>
              <w:pStyle w:val="NoSpacing1"/>
              <w:suppressAutoHyphens/>
              <w:spacing w:line="270" w:lineRule="exact"/>
              <w:jc w:val="center"/>
              <w:rPr>
                <w:rFonts w:asciiTheme="minorBidi" w:hAnsiTheme="minorBidi"/>
                <w:b/>
                <w:sz w:val="20"/>
                <w:szCs w:val="20"/>
              </w:rPr>
            </w:pPr>
            <w:r w:rsidRPr="006D7BFC">
              <w:rPr>
                <w:rFonts w:asciiTheme="minorBidi" w:hAnsiTheme="minorBidi"/>
                <w:b/>
                <w:sz w:val="20"/>
                <w:szCs w:val="20"/>
              </w:rPr>
              <w:t>90 Days</w:t>
            </w:r>
          </w:p>
        </w:tc>
        <w:tc>
          <w:tcPr>
            <w:tcW w:w="1440" w:type="dxa"/>
          </w:tcPr>
          <w:p w:rsidR="00CF2113" w:rsidRPr="006D7BFC" w:rsidRDefault="00CF2113" w:rsidP="004A6167">
            <w:pPr>
              <w:pStyle w:val="NoSpacing1"/>
              <w:suppressAutoHyphens/>
              <w:spacing w:line="270" w:lineRule="exact"/>
              <w:jc w:val="center"/>
              <w:rPr>
                <w:rFonts w:asciiTheme="minorBidi" w:hAnsiTheme="minorBidi"/>
                <w:b/>
                <w:sz w:val="20"/>
                <w:szCs w:val="20"/>
              </w:rPr>
            </w:pPr>
            <w:r w:rsidRPr="006D7BFC">
              <w:rPr>
                <w:rFonts w:asciiTheme="minorBidi" w:hAnsiTheme="minorBidi"/>
                <w:b/>
                <w:sz w:val="20"/>
                <w:szCs w:val="20"/>
              </w:rPr>
              <w:t>120 Days</w:t>
            </w:r>
          </w:p>
        </w:tc>
        <w:tc>
          <w:tcPr>
            <w:tcW w:w="1710" w:type="dxa"/>
          </w:tcPr>
          <w:p w:rsidR="00CF2113" w:rsidRPr="006D7BFC" w:rsidRDefault="00CF2113" w:rsidP="004A6167">
            <w:pPr>
              <w:pStyle w:val="NoSpacing1"/>
              <w:suppressAutoHyphens/>
              <w:spacing w:line="270" w:lineRule="exact"/>
              <w:jc w:val="center"/>
              <w:rPr>
                <w:rFonts w:asciiTheme="minorBidi" w:hAnsiTheme="minorBidi"/>
                <w:b/>
                <w:sz w:val="20"/>
                <w:szCs w:val="20"/>
              </w:rPr>
            </w:pPr>
            <w:r w:rsidRPr="006D7BFC">
              <w:rPr>
                <w:rFonts w:asciiTheme="minorBidi" w:hAnsiTheme="minorBidi"/>
                <w:b/>
                <w:sz w:val="20"/>
                <w:szCs w:val="20"/>
              </w:rPr>
              <w:t>Over 120 days</w:t>
            </w:r>
          </w:p>
        </w:tc>
      </w:tr>
      <w:tr w:rsidR="00CF2113" w:rsidRPr="006D7BFC" w:rsidTr="003C74A1">
        <w:tc>
          <w:tcPr>
            <w:tcW w:w="1440" w:type="dxa"/>
          </w:tcPr>
          <w:p w:rsidR="00CF2113" w:rsidRPr="006D7BFC" w:rsidRDefault="00CF2113" w:rsidP="004A6167">
            <w:pPr>
              <w:pStyle w:val="NoSpacing1"/>
              <w:suppressAutoHyphens/>
              <w:spacing w:line="270" w:lineRule="exact"/>
              <w:jc w:val="both"/>
              <w:rPr>
                <w:rFonts w:asciiTheme="minorBidi" w:hAnsiTheme="minorBidi"/>
                <w:sz w:val="20"/>
                <w:szCs w:val="20"/>
              </w:rPr>
            </w:pPr>
            <w:r w:rsidRPr="006D7BFC">
              <w:rPr>
                <w:rFonts w:asciiTheme="minorBidi" w:hAnsiTheme="minorBidi"/>
                <w:sz w:val="20"/>
                <w:szCs w:val="20"/>
              </w:rPr>
              <w:t>Agro-food</w:t>
            </w:r>
          </w:p>
        </w:tc>
        <w:tc>
          <w:tcPr>
            <w:tcW w:w="1350" w:type="dxa"/>
            <w:shd w:val="clear" w:color="auto" w:fill="D9D9D9" w:themeFill="background1" w:themeFillShade="D9"/>
          </w:tcPr>
          <w:p w:rsidR="00CF2113" w:rsidRPr="006D7BFC" w:rsidRDefault="00CF2113" w:rsidP="004A6167">
            <w:pPr>
              <w:pStyle w:val="NoSpacing1"/>
              <w:suppressAutoHyphens/>
              <w:spacing w:line="270" w:lineRule="exact"/>
              <w:jc w:val="center"/>
              <w:rPr>
                <w:rFonts w:asciiTheme="minorBidi" w:hAnsiTheme="minorBidi"/>
                <w:sz w:val="20"/>
                <w:szCs w:val="20"/>
              </w:rPr>
            </w:pPr>
          </w:p>
        </w:tc>
        <w:tc>
          <w:tcPr>
            <w:tcW w:w="135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5%</w:t>
            </w:r>
          </w:p>
        </w:tc>
        <w:tc>
          <w:tcPr>
            <w:tcW w:w="135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10%</w:t>
            </w:r>
          </w:p>
        </w:tc>
        <w:tc>
          <w:tcPr>
            <w:tcW w:w="1440" w:type="dxa"/>
            <w:shd w:val="clear" w:color="auto" w:fill="D9D9D9" w:themeFill="background1" w:themeFillShade="D9"/>
          </w:tcPr>
          <w:p w:rsidR="00CF2113" w:rsidRPr="006D7BFC" w:rsidRDefault="00CF2113" w:rsidP="004A6167">
            <w:pPr>
              <w:pStyle w:val="NoSpacing1"/>
              <w:suppressAutoHyphens/>
              <w:spacing w:line="270" w:lineRule="exact"/>
              <w:jc w:val="center"/>
              <w:rPr>
                <w:rFonts w:asciiTheme="minorBidi" w:hAnsiTheme="minorBidi"/>
                <w:sz w:val="20"/>
                <w:szCs w:val="20"/>
              </w:rPr>
            </w:pPr>
          </w:p>
        </w:tc>
        <w:tc>
          <w:tcPr>
            <w:tcW w:w="1710" w:type="dxa"/>
            <w:shd w:val="clear" w:color="auto" w:fill="D9D9D9" w:themeFill="background1" w:themeFillShade="D9"/>
          </w:tcPr>
          <w:p w:rsidR="00CF2113" w:rsidRPr="006D7BFC" w:rsidRDefault="00CF2113" w:rsidP="004A6167">
            <w:pPr>
              <w:pStyle w:val="NoSpacing1"/>
              <w:suppressAutoHyphens/>
              <w:spacing w:line="270" w:lineRule="exact"/>
              <w:jc w:val="center"/>
              <w:rPr>
                <w:rFonts w:asciiTheme="minorBidi" w:hAnsiTheme="minorBidi"/>
                <w:sz w:val="20"/>
                <w:szCs w:val="20"/>
              </w:rPr>
            </w:pPr>
          </w:p>
        </w:tc>
      </w:tr>
      <w:tr w:rsidR="00CF2113" w:rsidRPr="006D7BFC" w:rsidTr="003C74A1">
        <w:tc>
          <w:tcPr>
            <w:tcW w:w="1440" w:type="dxa"/>
          </w:tcPr>
          <w:p w:rsidR="00CF2113" w:rsidRPr="006D7BFC" w:rsidRDefault="00CF2113" w:rsidP="004A6167">
            <w:pPr>
              <w:pStyle w:val="NoSpacing1"/>
              <w:suppressAutoHyphens/>
              <w:spacing w:line="270" w:lineRule="exact"/>
              <w:jc w:val="both"/>
              <w:rPr>
                <w:rFonts w:asciiTheme="minorBidi" w:hAnsiTheme="minorBidi"/>
                <w:sz w:val="20"/>
                <w:szCs w:val="20"/>
              </w:rPr>
            </w:pPr>
            <w:r w:rsidRPr="006D7BFC">
              <w:rPr>
                <w:rFonts w:asciiTheme="minorBidi" w:hAnsiTheme="minorBidi"/>
                <w:sz w:val="20"/>
                <w:szCs w:val="20"/>
              </w:rPr>
              <w:t>Automotive</w:t>
            </w:r>
          </w:p>
        </w:tc>
        <w:tc>
          <w:tcPr>
            <w:tcW w:w="1350" w:type="dxa"/>
            <w:shd w:val="clear" w:color="auto" w:fill="D9D9D9" w:themeFill="background1" w:themeFillShade="D9"/>
          </w:tcPr>
          <w:p w:rsidR="00CF2113" w:rsidRPr="006D7BFC" w:rsidRDefault="00CF2113" w:rsidP="004A6167">
            <w:pPr>
              <w:pStyle w:val="NoSpacing1"/>
              <w:suppressAutoHyphens/>
              <w:spacing w:line="270" w:lineRule="exact"/>
              <w:jc w:val="center"/>
              <w:rPr>
                <w:rFonts w:asciiTheme="minorBidi" w:hAnsiTheme="minorBidi"/>
                <w:sz w:val="20"/>
                <w:szCs w:val="20"/>
              </w:rPr>
            </w:pPr>
          </w:p>
        </w:tc>
        <w:tc>
          <w:tcPr>
            <w:tcW w:w="135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17%</w:t>
            </w:r>
          </w:p>
        </w:tc>
        <w:tc>
          <w:tcPr>
            <w:tcW w:w="135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17%</w:t>
            </w:r>
          </w:p>
        </w:tc>
        <w:tc>
          <w:tcPr>
            <w:tcW w:w="144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17%</w:t>
            </w:r>
          </w:p>
        </w:tc>
        <w:tc>
          <w:tcPr>
            <w:tcW w:w="1710" w:type="dxa"/>
            <w:shd w:val="clear" w:color="auto" w:fill="D9D9D9" w:themeFill="background1" w:themeFillShade="D9"/>
          </w:tcPr>
          <w:p w:rsidR="00CF2113" w:rsidRPr="006D7BFC" w:rsidRDefault="00CF2113" w:rsidP="004A6167">
            <w:pPr>
              <w:pStyle w:val="NoSpacing1"/>
              <w:suppressAutoHyphens/>
              <w:spacing w:line="270" w:lineRule="exact"/>
              <w:jc w:val="center"/>
              <w:rPr>
                <w:rFonts w:asciiTheme="minorBidi" w:hAnsiTheme="minorBidi"/>
                <w:sz w:val="20"/>
                <w:szCs w:val="20"/>
              </w:rPr>
            </w:pPr>
          </w:p>
        </w:tc>
      </w:tr>
      <w:tr w:rsidR="00CF2113" w:rsidRPr="006D7BFC" w:rsidTr="003C74A1">
        <w:tc>
          <w:tcPr>
            <w:tcW w:w="1440" w:type="dxa"/>
          </w:tcPr>
          <w:p w:rsidR="00CF2113" w:rsidRPr="006D7BFC" w:rsidRDefault="00CF2113" w:rsidP="004A6167">
            <w:pPr>
              <w:pStyle w:val="NoSpacing1"/>
              <w:suppressAutoHyphens/>
              <w:spacing w:line="270" w:lineRule="exact"/>
              <w:jc w:val="both"/>
              <w:rPr>
                <w:rFonts w:asciiTheme="minorBidi" w:hAnsiTheme="minorBidi"/>
                <w:sz w:val="20"/>
                <w:szCs w:val="20"/>
              </w:rPr>
            </w:pPr>
            <w:r w:rsidRPr="006D7BFC">
              <w:rPr>
                <w:rFonts w:asciiTheme="minorBidi" w:hAnsiTheme="minorBidi"/>
                <w:sz w:val="20"/>
                <w:szCs w:val="20"/>
              </w:rPr>
              <w:t>Chemicals</w:t>
            </w:r>
          </w:p>
        </w:tc>
        <w:tc>
          <w:tcPr>
            <w:tcW w:w="1350" w:type="dxa"/>
            <w:shd w:val="clear" w:color="auto" w:fill="D9D9D9" w:themeFill="background1" w:themeFillShade="D9"/>
          </w:tcPr>
          <w:p w:rsidR="00CF2113" w:rsidRPr="006D7BFC" w:rsidRDefault="00CF2113" w:rsidP="004A6167">
            <w:pPr>
              <w:pStyle w:val="NoSpacing1"/>
              <w:suppressAutoHyphens/>
              <w:spacing w:line="270" w:lineRule="exact"/>
              <w:jc w:val="center"/>
              <w:rPr>
                <w:rFonts w:asciiTheme="minorBidi" w:hAnsiTheme="minorBidi"/>
                <w:sz w:val="20"/>
                <w:szCs w:val="20"/>
              </w:rPr>
            </w:pPr>
          </w:p>
        </w:tc>
        <w:tc>
          <w:tcPr>
            <w:tcW w:w="1350" w:type="dxa"/>
            <w:shd w:val="clear" w:color="auto" w:fill="D9D9D9" w:themeFill="background1" w:themeFillShade="D9"/>
          </w:tcPr>
          <w:p w:rsidR="00CF2113" w:rsidRPr="006D7BFC" w:rsidRDefault="00CF2113" w:rsidP="004A6167">
            <w:pPr>
              <w:pStyle w:val="NoSpacing1"/>
              <w:suppressAutoHyphens/>
              <w:spacing w:line="270" w:lineRule="exact"/>
              <w:jc w:val="center"/>
              <w:rPr>
                <w:rFonts w:asciiTheme="minorBidi" w:hAnsiTheme="minorBidi"/>
                <w:sz w:val="20"/>
                <w:szCs w:val="20"/>
              </w:rPr>
            </w:pPr>
          </w:p>
        </w:tc>
        <w:tc>
          <w:tcPr>
            <w:tcW w:w="135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14%</w:t>
            </w:r>
          </w:p>
        </w:tc>
        <w:tc>
          <w:tcPr>
            <w:tcW w:w="144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14%</w:t>
            </w:r>
          </w:p>
        </w:tc>
        <w:tc>
          <w:tcPr>
            <w:tcW w:w="1710" w:type="dxa"/>
            <w:shd w:val="clear" w:color="auto" w:fill="D9D9D9" w:themeFill="background1" w:themeFillShade="D9"/>
          </w:tcPr>
          <w:p w:rsidR="00CF2113" w:rsidRPr="006D7BFC" w:rsidRDefault="00CF2113" w:rsidP="004A6167">
            <w:pPr>
              <w:pStyle w:val="NoSpacing1"/>
              <w:suppressAutoHyphens/>
              <w:spacing w:line="270" w:lineRule="exact"/>
              <w:jc w:val="center"/>
              <w:rPr>
                <w:rFonts w:asciiTheme="minorBidi" w:hAnsiTheme="minorBidi"/>
                <w:sz w:val="20"/>
                <w:szCs w:val="20"/>
              </w:rPr>
            </w:pPr>
          </w:p>
        </w:tc>
      </w:tr>
      <w:tr w:rsidR="003C74A1" w:rsidRPr="006D7BFC" w:rsidTr="003C74A1">
        <w:trPr>
          <w:trHeight w:val="233"/>
        </w:trPr>
        <w:tc>
          <w:tcPr>
            <w:tcW w:w="1440" w:type="dxa"/>
          </w:tcPr>
          <w:p w:rsidR="00CF2113" w:rsidRPr="006D7BFC" w:rsidRDefault="00CF2113" w:rsidP="004A6167">
            <w:pPr>
              <w:pStyle w:val="NoSpacing1"/>
              <w:suppressAutoHyphens/>
              <w:spacing w:line="270" w:lineRule="exact"/>
              <w:jc w:val="both"/>
              <w:rPr>
                <w:rFonts w:asciiTheme="minorBidi" w:hAnsiTheme="minorBidi"/>
                <w:sz w:val="20"/>
                <w:szCs w:val="20"/>
              </w:rPr>
            </w:pPr>
            <w:r w:rsidRPr="006D7BFC">
              <w:rPr>
                <w:rFonts w:asciiTheme="minorBidi" w:hAnsiTheme="minorBidi"/>
                <w:sz w:val="20"/>
                <w:szCs w:val="20"/>
              </w:rPr>
              <w:t>Construction</w:t>
            </w:r>
          </w:p>
        </w:tc>
        <w:tc>
          <w:tcPr>
            <w:tcW w:w="1350" w:type="dxa"/>
            <w:shd w:val="clear" w:color="auto" w:fill="D9D9D9" w:themeFill="background1" w:themeFillShade="D9"/>
          </w:tcPr>
          <w:p w:rsidR="00CF2113" w:rsidRPr="006D7BFC" w:rsidRDefault="00CF2113" w:rsidP="004A6167">
            <w:pPr>
              <w:pStyle w:val="NoSpacing1"/>
              <w:suppressAutoHyphens/>
              <w:spacing w:line="270" w:lineRule="exact"/>
              <w:jc w:val="center"/>
              <w:rPr>
                <w:rFonts w:asciiTheme="minorBidi" w:hAnsiTheme="minorBidi"/>
                <w:sz w:val="20"/>
                <w:szCs w:val="20"/>
              </w:rPr>
            </w:pPr>
          </w:p>
        </w:tc>
        <w:tc>
          <w:tcPr>
            <w:tcW w:w="1350" w:type="dxa"/>
            <w:shd w:val="clear" w:color="auto" w:fill="D9D9D9" w:themeFill="background1" w:themeFillShade="D9"/>
          </w:tcPr>
          <w:p w:rsidR="00CF2113" w:rsidRPr="006D7BFC" w:rsidRDefault="00CF2113" w:rsidP="004A6167">
            <w:pPr>
              <w:pStyle w:val="NoSpacing1"/>
              <w:suppressAutoHyphens/>
              <w:spacing w:line="270" w:lineRule="exact"/>
              <w:jc w:val="center"/>
              <w:rPr>
                <w:rFonts w:asciiTheme="minorBidi" w:hAnsiTheme="minorBidi"/>
                <w:sz w:val="20"/>
                <w:szCs w:val="20"/>
              </w:rPr>
            </w:pPr>
          </w:p>
        </w:tc>
        <w:tc>
          <w:tcPr>
            <w:tcW w:w="135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2%</w:t>
            </w:r>
          </w:p>
        </w:tc>
        <w:tc>
          <w:tcPr>
            <w:tcW w:w="1440" w:type="dxa"/>
            <w:shd w:val="clear" w:color="auto" w:fill="D9D9D9" w:themeFill="background1" w:themeFillShade="D9"/>
          </w:tcPr>
          <w:p w:rsidR="00CF2113" w:rsidRPr="006D7BFC" w:rsidRDefault="00CF2113" w:rsidP="004A6167">
            <w:pPr>
              <w:pStyle w:val="NoSpacing1"/>
              <w:suppressAutoHyphens/>
              <w:spacing w:line="270" w:lineRule="exact"/>
              <w:jc w:val="center"/>
              <w:rPr>
                <w:rFonts w:asciiTheme="minorBidi" w:hAnsiTheme="minorBidi"/>
                <w:sz w:val="20"/>
                <w:szCs w:val="20"/>
              </w:rPr>
            </w:pPr>
          </w:p>
        </w:tc>
        <w:tc>
          <w:tcPr>
            <w:tcW w:w="1710" w:type="dxa"/>
            <w:shd w:val="clear" w:color="auto" w:fill="D9D9D9" w:themeFill="background1" w:themeFillShade="D9"/>
          </w:tcPr>
          <w:p w:rsidR="00CF2113" w:rsidRPr="006D7BFC" w:rsidRDefault="00CF2113" w:rsidP="004A6167">
            <w:pPr>
              <w:pStyle w:val="NoSpacing1"/>
              <w:suppressAutoHyphens/>
              <w:spacing w:line="270" w:lineRule="exact"/>
              <w:jc w:val="center"/>
              <w:rPr>
                <w:rFonts w:asciiTheme="minorBidi" w:hAnsiTheme="minorBidi"/>
                <w:sz w:val="20"/>
                <w:szCs w:val="20"/>
              </w:rPr>
            </w:pPr>
          </w:p>
        </w:tc>
      </w:tr>
      <w:tr w:rsidR="00CF2113" w:rsidRPr="006D7BFC" w:rsidTr="003C74A1">
        <w:tc>
          <w:tcPr>
            <w:tcW w:w="1440" w:type="dxa"/>
          </w:tcPr>
          <w:p w:rsidR="00CF2113" w:rsidRPr="006D7BFC" w:rsidRDefault="00CF2113" w:rsidP="004A6167">
            <w:pPr>
              <w:pStyle w:val="NoSpacing1"/>
              <w:suppressAutoHyphens/>
              <w:spacing w:line="270" w:lineRule="exact"/>
              <w:jc w:val="both"/>
              <w:rPr>
                <w:rFonts w:asciiTheme="minorBidi" w:hAnsiTheme="minorBidi"/>
                <w:sz w:val="20"/>
                <w:szCs w:val="20"/>
              </w:rPr>
            </w:pPr>
            <w:r w:rsidRPr="006D7BFC">
              <w:rPr>
                <w:rFonts w:asciiTheme="minorBidi" w:hAnsiTheme="minorBidi"/>
                <w:sz w:val="20"/>
                <w:szCs w:val="20"/>
              </w:rPr>
              <w:t>Energy</w:t>
            </w:r>
          </w:p>
        </w:tc>
        <w:tc>
          <w:tcPr>
            <w:tcW w:w="135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11%</w:t>
            </w:r>
          </w:p>
        </w:tc>
        <w:tc>
          <w:tcPr>
            <w:tcW w:w="135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11%</w:t>
            </w:r>
          </w:p>
        </w:tc>
        <w:tc>
          <w:tcPr>
            <w:tcW w:w="1350" w:type="dxa"/>
            <w:shd w:val="clear" w:color="auto" w:fill="D9D9D9" w:themeFill="background1" w:themeFillShade="D9"/>
          </w:tcPr>
          <w:p w:rsidR="00CF2113" w:rsidRPr="006D7BFC" w:rsidRDefault="00CF2113" w:rsidP="004A6167">
            <w:pPr>
              <w:pStyle w:val="NoSpacing1"/>
              <w:suppressAutoHyphens/>
              <w:spacing w:line="270" w:lineRule="exact"/>
              <w:jc w:val="center"/>
              <w:rPr>
                <w:rFonts w:asciiTheme="minorBidi" w:hAnsiTheme="minorBidi"/>
                <w:sz w:val="20"/>
                <w:szCs w:val="20"/>
              </w:rPr>
            </w:pPr>
          </w:p>
        </w:tc>
        <w:tc>
          <w:tcPr>
            <w:tcW w:w="1440" w:type="dxa"/>
            <w:shd w:val="clear" w:color="auto" w:fill="D9D9D9" w:themeFill="background1" w:themeFillShade="D9"/>
          </w:tcPr>
          <w:p w:rsidR="00CF2113" w:rsidRPr="006D7BFC" w:rsidRDefault="00CF2113" w:rsidP="004A6167">
            <w:pPr>
              <w:pStyle w:val="NoSpacing1"/>
              <w:suppressAutoHyphens/>
              <w:spacing w:line="270" w:lineRule="exact"/>
              <w:jc w:val="center"/>
              <w:rPr>
                <w:rFonts w:asciiTheme="minorBidi" w:hAnsiTheme="minorBidi"/>
                <w:sz w:val="20"/>
                <w:szCs w:val="20"/>
              </w:rPr>
            </w:pPr>
          </w:p>
        </w:tc>
        <w:tc>
          <w:tcPr>
            <w:tcW w:w="171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11%</w:t>
            </w:r>
          </w:p>
        </w:tc>
      </w:tr>
      <w:tr w:rsidR="00CF2113" w:rsidRPr="006D7BFC" w:rsidTr="003C74A1">
        <w:tc>
          <w:tcPr>
            <w:tcW w:w="1440" w:type="dxa"/>
          </w:tcPr>
          <w:p w:rsidR="00CF2113" w:rsidRPr="006D7BFC" w:rsidRDefault="00CF2113" w:rsidP="004A6167">
            <w:pPr>
              <w:pStyle w:val="NoSpacing1"/>
              <w:suppressAutoHyphens/>
              <w:spacing w:line="270" w:lineRule="exact"/>
              <w:jc w:val="both"/>
              <w:rPr>
                <w:rFonts w:asciiTheme="minorBidi" w:hAnsiTheme="minorBidi"/>
                <w:sz w:val="20"/>
                <w:szCs w:val="20"/>
              </w:rPr>
            </w:pPr>
            <w:r w:rsidRPr="006D7BFC">
              <w:rPr>
                <w:rFonts w:asciiTheme="minorBidi" w:hAnsiTheme="minorBidi"/>
                <w:sz w:val="20"/>
                <w:szCs w:val="20"/>
              </w:rPr>
              <w:t>ICT</w:t>
            </w:r>
          </w:p>
        </w:tc>
        <w:tc>
          <w:tcPr>
            <w:tcW w:w="1350" w:type="dxa"/>
            <w:shd w:val="clear" w:color="auto" w:fill="D9D9D9" w:themeFill="background1" w:themeFillShade="D9"/>
          </w:tcPr>
          <w:p w:rsidR="00CF2113" w:rsidRPr="006D7BFC" w:rsidRDefault="00CF2113" w:rsidP="004A6167">
            <w:pPr>
              <w:pStyle w:val="NoSpacing1"/>
              <w:suppressAutoHyphens/>
              <w:spacing w:line="270" w:lineRule="exact"/>
              <w:jc w:val="center"/>
              <w:rPr>
                <w:rFonts w:asciiTheme="minorBidi" w:hAnsiTheme="minorBidi"/>
                <w:sz w:val="20"/>
                <w:szCs w:val="20"/>
              </w:rPr>
            </w:pPr>
          </w:p>
        </w:tc>
        <w:tc>
          <w:tcPr>
            <w:tcW w:w="135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10%</w:t>
            </w:r>
          </w:p>
        </w:tc>
        <w:tc>
          <w:tcPr>
            <w:tcW w:w="1350" w:type="dxa"/>
            <w:shd w:val="clear" w:color="auto" w:fill="D9D9D9" w:themeFill="background1" w:themeFillShade="D9"/>
          </w:tcPr>
          <w:p w:rsidR="00CF2113" w:rsidRPr="006D7BFC" w:rsidRDefault="00CF2113" w:rsidP="004A6167">
            <w:pPr>
              <w:pStyle w:val="NoSpacing1"/>
              <w:suppressAutoHyphens/>
              <w:spacing w:line="270" w:lineRule="exact"/>
              <w:jc w:val="center"/>
              <w:rPr>
                <w:rFonts w:asciiTheme="minorBidi" w:hAnsiTheme="minorBidi"/>
                <w:sz w:val="20"/>
                <w:szCs w:val="20"/>
              </w:rPr>
            </w:pPr>
          </w:p>
        </w:tc>
        <w:tc>
          <w:tcPr>
            <w:tcW w:w="144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10%</w:t>
            </w:r>
          </w:p>
        </w:tc>
        <w:tc>
          <w:tcPr>
            <w:tcW w:w="1710" w:type="dxa"/>
            <w:shd w:val="clear" w:color="auto" w:fill="D9D9D9" w:themeFill="background1" w:themeFillShade="D9"/>
          </w:tcPr>
          <w:p w:rsidR="00CF2113" w:rsidRPr="006D7BFC" w:rsidRDefault="00CF2113" w:rsidP="004A6167">
            <w:pPr>
              <w:pStyle w:val="NoSpacing1"/>
              <w:suppressAutoHyphens/>
              <w:spacing w:line="270" w:lineRule="exact"/>
              <w:jc w:val="center"/>
              <w:rPr>
                <w:rFonts w:asciiTheme="minorBidi" w:hAnsiTheme="minorBidi"/>
                <w:sz w:val="20"/>
                <w:szCs w:val="20"/>
              </w:rPr>
            </w:pPr>
          </w:p>
        </w:tc>
      </w:tr>
      <w:tr w:rsidR="00CF2113" w:rsidRPr="006D7BFC" w:rsidTr="003C74A1">
        <w:tc>
          <w:tcPr>
            <w:tcW w:w="1440" w:type="dxa"/>
          </w:tcPr>
          <w:p w:rsidR="00CF2113" w:rsidRPr="006D7BFC" w:rsidRDefault="00CF2113" w:rsidP="004A6167">
            <w:pPr>
              <w:pStyle w:val="NoSpacing1"/>
              <w:suppressAutoHyphens/>
              <w:spacing w:line="270" w:lineRule="exact"/>
              <w:jc w:val="both"/>
              <w:rPr>
                <w:rFonts w:asciiTheme="minorBidi" w:hAnsiTheme="minorBidi"/>
                <w:sz w:val="20"/>
                <w:szCs w:val="20"/>
              </w:rPr>
            </w:pPr>
            <w:r w:rsidRPr="006D7BFC">
              <w:rPr>
                <w:rFonts w:asciiTheme="minorBidi" w:hAnsiTheme="minorBidi"/>
                <w:sz w:val="20"/>
                <w:szCs w:val="20"/>
              </w:rPr>
              <w:t>Metals</w:t>
            </w:r>
          </w:p>
        </w:tc>
        <w:tc>
          <w:tcPr>
            <w:tcW w:w="135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7%</w:t>
            </w:r>
          </w:p>
        </w:tc>
        <w:tc>
          <w:tcPr>
            <w:tcW w:w="135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20%</w:t>
            </w:r>
          </w:p>
        </w:tc>
        <w:tc>
          <w:tcPr>
            <w:tcW w:w="135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13%</w:t>
            </w:r>
          </w:p>
        </w:tc>
        <w:tc>
          <w:tcPr>
            <w:tcW w:w="1440" w:type="dxa"/>
            <w:shd w:val="clear" w:color="auto" w:fill="D9D9D9" w:themeFill="background1" w:themeFillShade="D9"/>
          </w:tcPr>
          <w:p w:rsidR="00CF2113" w:rsidRPr="006D7BFC" w:rsidRDefault="00CF2113" w:rsidP="004A6167">
            <w:pPr>
              <w:pStyle w:val="NoSpacing1"/>
              <w:suppressAutoHyphens/>
              <w:spacing w:line="270" w:lineRule="exact"/>
              <w:jc w:val="center"/>
              <w:rPr>
                <w:rFonts w:asciiTheme="minorBidi" w:hAnsiTheme="minorBidi"/>
                <w:sz w:val="20"/>
                <w:szCs w:val="20"/>
              </w:rPr>
            </w:pPr>
          </w:p>
        </w:tc>
        <w:tc>
          <w:tcPr>
            <w:tcW w:w="1710" w:type="dxa"/>
            <w:shd w:val="clear" w:color="auto" w:fill="D9D9D9" w:themeFill="background1" w:themeFillShade="D9"/>
          </w:tcPr>
          <w:p w:rsidR="00CF2113" w:rsidRPr="006D7BFC" w:rsidRDefault="00CF2113" w:rsidP="004A6167">
            <w:pPr>
              <w:pStyle w:val="NoSpacing1"/>
              <w:suppressAutoHyphens/>
              <w:spacing w:line="270" w:lineRule="exact"/>
              <w:jc w:val="center"/>
              <w:rPr>
                <w:rFonts w:asciiTheme="minorBidi" w:hAnsiTheme="minorBidi"/>
                <w:sz w:val="20"/>
                <w:szCs w:val="20"/>
              </w:rPr>
            </w:pPr>
          </w:p>
        </w:tc>
      </w:tr>
      <w:tr w:rsidR="00CF2113" w:rsidRPr="006D7BFC" w:rsidTr="003C74A1">
        <w:tc>
          <w:tcPr>
            <w:tcW w:w="1440" w:type="dxa"/>
          </w:tcPr>
          <w:p w:rsidR="00CF2113" w:rsidRPr="006D7BFC" w:rsidRDefault="00CF2113" w:rsidP="004A6167">
            <w:pPr>
              <w:pStyle w:val="NoSpacing1"/>
              <w:suppressAutoHyphens/>
              <w:spacing w:line="270" w:lineRule="exact"/>
              <w:jc w:val="both"/>
              <w:rPr>
                <w:rFonts w:asciiTheme="minorBidi" w:hAnsiTheme="minorBidi"/>
                <w:sz w:val="20"/>
                <w:szCs w:val="20"/>
              </w:rPr>
            </w:pPr>
            <w:r w:rsidRPr="006D7BFC">
              <w:rPr>
                <w:rFonts w:asciiTheme="minorBidi" w:hAnsiTheme="minorBidi"/>
                <w:sz w:val="20"/>
                <w:szCs w:val="20"/>
              </w:rPr>
              <w:t>Pharma</w:t>
            </w:r>
          </w:p>
        </w:tc>
        <w:tc>
          <w:tcPr>
            <w:tcW w:w="1350" w:type="dxa"/>
            <w:shd w:val="clear" w:color="auto" w:fill="D9D9D9" w:themeFill="background1" w:themeFillShade="D9"/>
          </w:tcPr>
          <w:p w:rsidR="00CF2113" w:rsidRPr="006D7BFC" w:rsidRDefault="00CF2113" w:rsidP="004A6167">
            <w:pPr>
              <w:pStyle w:val="NoSpacing1"/>
              <w:suppressAutoHyphens/>
              <w:spacing w:line="270" w:lineRule="exact"/>
              <w:jc w:val="center"/>
              <w:rPr>
                <w:rFonts w:asciiTheme="minorBidi" w:hAnsiTheme="minorBidi"/>
                <w:sz w:val="20"/>
                <w:szCs w:val="20"/>
              </w:rPr>
            </w:pPr>
          </w:p>
        </w:tc>
        <w:tc>
          <w:tcPr>
            <w:tcW w:w="135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17%</w:t>
            </w:r>
          </w:p>
        </w:tc>
        <w:tc>
          <w:tcPr>
            <w:tcW w:w="1350" w:type="dxa"/>
            <w:shd w:val="clear" w:color="auto" w:fill="D9D9D9" w:themeFill="background1" w:themeFillShade="D9"/>
          </w:tcPr>
          <w:p w:rsidR="00CF2113" w:rsidRPr="006D7BFC" w:rsidRDefault="00CF2113" w:rsidP="004A6167">
            <w:pPr>
              <w:pStyle w:val="NoSpacing1"/>
              <w:suppressAutoHyphens/>
              <w:spacing w:line="270" w:lineRule="exact"/>
              <w:jc w:val="center"/>
              <w:rPr>
                <w:rFonts w:asciiTheme="minorBidi" w:hAnsiTheme="minorBidi"/>
                <w:sz w:val="20"/>
                <w:szCs w:val="20"/>
              </w:rPr>
            </w:pPr>
          </w:p>
        </w:tc>
        <w:tc>
          <w:tcPr>
            <w:tcW w:w="1440" w:type="dxa"/>
            <w:shd w:val="clear" w:color="auto" w:fill="D9D9D9" w:themeFill="background1" w:themeFillShade="D9"/>
          </w:tcPr>
          <w:p w:rsidR="00CF2113" w:rsidRPr="006D7BFC" w:rsidRDefault="00CF2113" w:rsidP="004A6167">
            <w:pPr>
              <w:pStyle w:val="NoSpacing1"/>
              <w:suppressAutoHyphens/>
              <w:spacing w:line="270" w:lineRule="exact"/>
              <w:jc w:val="center"/>
              <w:rPr>
                <w:rFonts w:asciiTheme="minorBidi" w:hAnsiTheme="minorBidi"/>
                <w:sz w:val="20"/>
                <w:szCs w:val="20"/>
              </w:rPr>
            </w:pPr>
          </w:p>
        </w:tc>
        <w:tc>
          <w:tcPr>
            <w:tcW w:w="171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17%</w:t>
            </w:r>
          </w:p>
        </w:tc>
      </w:tr>
      <w:tr w:rsidR="003C74A1" w:rsidRPr="006D7BFC" w:rsidTr="003C74A1">
        <w:trPr>
          <w:trHeight w:val="193"/>
        </w:trPr>
        <w:tc>
          <w:tcPr>
            <w:tcW w:w="1440" w:type="dxa"/>
          </w:tcPr>
          <w:p w:rsidR="00CF2113" w:rsidRPr="006D7BFC" w:rsidRDefault="00CF2113" w:rsidP="004A6167">
            <w:pPr>
              <w:pStyle w:val="NoSpacing1"/>
              <w:suppressAutoHyphens/>
              <w:spacing w:line="270" w:lineRule="exact"/>
              <w:jc w:val="both"/>
              <w:rPr>
                <w:rFonts w:asciiTheme="minorBidi" w:hAnsiTheme="minorBidi"/>
                <w:sz w:val="20"/>
                <w:szCs w:val="20"/>
              </w:rPr>
            </w:pPr>
            <w:r w:rsidRPr="006D7BFC">
              <w:rPr>
                <w:rFonts w:asciiTheme="minorBidi" w:hAnsiTheme="minorBidi"/>
                <w:sz w:val="20"/>
                <w:szCs w:val="20"/>
              </w:rPr>
              <w:t>Retail</w:t>
            </w:r>
          </w:p>
        </w:tc>
        <w:tc>
          <w:tcPr>
            <w:tcW w:w="1350" w:type="dxa"/>
            <w:shd w:val="clear" w:color="auto" w:fill="D9D9D9" w:themeFill="background1" w:themeFillShade="D9"/>
          </w:tcPr>
          <w:p w:rsidR="00CF2113" w:rsidRPr="006D7BFC" w:rsidRDefault="00CF2113" w:rsidP="004A6167">
            <w:pPr>
              <w:pStyle w:val="NoSpacing1"/>
              <w:suppressAutoHyphens/>
              <w:spacing w:line="270" w:lineRule="exact"/>
              <w:jc w:val="center"/>
              <w:rPr>
                <w:rFonts w:asciiTheme="minorBidi" w:hAnsiTheme="minorBidi"/>
                <w:sz w:val="20"/>
                <w:szCs w:val="20"/>
              </w:rPr>
            </w:pPr>
          </w:p>
        </w:tc>
        <w:tc>
          <w:tcPr>
            <w:tcW w:w="135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7%</w:t>
            </w:r>
          </w:p>
        </w:tc>
        <w:tc>
          <w:tcPr>
            <w:tcW w:w="1350" w:type="dxa"/>
            <w:shd w:val="clear" w:color="auto" w:fill="D9D9D9" w:themeFill="background1" w:themeFillShade="D9"/>
          </w:tcPr>
          <w:p w:rsidR="00CF2113" w:rsidRPr="006D7BFC" w:rsidRDefault="00CF2113" w:rsidP="004A6167">
            <w:pPr>
              <w:pStyle w:val="NoSpacing1"/>
              <w:suppressAutoHyphens/>
              <w:spacing w:line="270" w:lineRule="exact"/>
              <w:jc w:val="center"/>
              <w:rPr>
                <w:rFonts w:asciiTheme="minorBidi" w:hAnsiTheme="minorBidi"/>
                <w:sz w:val="20"/>
                <w:szCs w:val="20"/>
              </w:rPr>
            </w:pPr>
          </w:p>
        </w:tc>
        <w:tc>
          <w:tcPr>
            <w:tcW w:w="1440" w:type="dxa"/>
            <w:shd w:val="clear" w:color="auto" w:fill="D9D9D9" w:themeFill="background1" w:themeFillShade="D9"/>
          </w:tcPr>
          <w:p w:rsidR="00CF2113" w:rsidRPr="006D7BFC" w:rsidRDefault="00CF2113" w:rsidP="004A6167">
            <w:pPr>
              <w:pStyle w:val="NoSpacing1"/>
              <w:suppressAutoHyphens/>
              <w:spacing w:line="270" w:lineRule="exact"/>
              <w:jc w:val="center"/>
              <w:rPr>
                <w:rFonts w:asciiTheme="minorBidi" w:hAnsiTheme="minorBidi"/>
                <w:sz w:val="20"/>
                <w:szCs w:val="20"/>
              </w:rPr>
            </w:pPr>
          </w:p>
        </w:tc>
        <w:tc>
          <w:tcPr>
            <w:tcW w:w="1710" w:type="dxa"/>
            <w:shd w:val="clear" w:color="auto" w:fill="D9D9D9" w:themeFill="background1" w:themeFillShade="D9"/>
          </w:tcPr>
          <w:p w:rsidR="00CF2113" w:rsidRPr="006D7BFC" w:rsidRDefault="00CF2113" w:rsidP="004A6167">
            <w:pPr>
              <w:pStyle w:val="NoSpacing1"/>
              <w:suppressAutoHyphens/>
              <w:spacing w:line="270" w:lineRule="exact"/>
              <w:jc w:val="center"/>
              <w:rPr>
                <w:rFonts w:asciiTheme="minorBidi" w:hAnsiTheme="minorBidi"/>
                <w:sz w:val="20"/>
                <w:szCs w:val="20"/>
              </w:rPr>
            </w:pPr>
          </w:p>
        </w:tc>
      </w:tr>
    </w:tbl>
    <w:p w:rsidR="00CF2113" w:rsidRPr="004A6167" w:rsidRDefault="00CF2113" w:rsidP="004A6167">
      <w:pPr>
        <w:pStyle w:val="NoSpacing1"/>
        <w:suppressAutoHyphens/>
        <w:spacing w:line="270" w:lineRule="exact"/>
        <w:ind w:left="720"/>
        <w:jc w:val="both"/>
        <w:rPr>
          <w:rFonts w:asciiTheme="minorBidi" w:hAnsiTheme="minorBidi"/>
          <w:i/>
          <w:sz w:val="18"/>
          <w:szCs w:val="18"/>
        </w:rPr>
      </w:pPr>
      <w:r w:rsidRPr="004A6167">
        <w:rPr>
          <w:rFonts w:asciiTheme="minorBidi" w:hAnsiTheme="minorBidi"/>
          <w:i/>
          <w:sz w:val="18"/>
          <w:szCs w:val="18"/>
        </w:rPr>
        <w:t>Source: Coface Payment Survey 2016</w:t>
      </w:r>
    </w:p>
    <w:p w:rsidR="00CF2113" w:rsidRPr="006D7BFC" w:rsidRDefault="00CF2113" w:rsidP="004A6167">
      <w:pPr>
        <w:pStyle w:val="NoSpacing1"/>
        <w:suppressAutoHyphens/>
        <w:spacing w:line="270" w:lineRule="exact"/>
        <w:ind w:left="720"/>
        <w:jc w:val="both"/>
        <w:rPr>
          <w:rFonts w:asciiTheme="minorBidi" w:hAnsiTheme="minorBidi"/>
          <w:i/>
          <w:sz w:val="20"/>
          <w:szCs w:val="20"/>
        </w:rPr>
      </w:pPr>
    </w:p>
    <w:p w:rsidR="00B21359" w:rsidRDefault="00F16335" w:rsidP="004A6167">
      <w:pPr>
        <w:pStyle w:val="NoSpacing1"/>
        <w:suppressAutoHyphens/>
        <w:spacing w:line="270" w:lineRule="exact"/>
        <w:ind w:left="720"/>
        <w:jc w:val="both"/>
        <w:rPr>
          <w:rFonts w:asciiTheme="minorBidi" w:hAnsiTheme="minorBidi"/>
          <w:b/>
          <w:sz w:val="20"/>
          <w:szCs w:val="20"/>
        </w:rPr>
      </w:pPr>
      <w:r>
        <w:rPr>
          <w:rFonts w:asciiTheme="minorBidi" w:hAnsiTheme="minorBidi"/>
          <w:sz w:val="20"/>
          <w:szCs w:val="20"/>
        </w:rPr>
        <w:t>The majority</w:t>
      </w:r>
      <w:r w:rsidR="00CF2113" w:rsidRPr="006D7BFC">
        <w:rPr>
          <w:rFonts w:asciiTheme="minorBidi" w:hAnsiTheme="minorBidi"/>
          <w:sz w:val="20"/>
          <w:szCs w:val="20"/>
        </w:rPr>
        <w:t xml:space="preserve"> </w:t>
      </w:r>
      <w:r>
        <w:rPr>
          <w:rFonts w:asciiTheme="minorBidi" w:hAnsiTheme="minorBidi"/>
          <w:sz w:val="20"/>
          <w:szCs w:val="20"/>
        </w:rPr>
        <w:t xml:space="preserve">(61%) </w:t>
      </w:r>
      <w:r w:rsidR="00CF2113" w:rsidRPr="006D7BFC">
        <w:rPr>
          <w:rFonts w:asciiTheme="minorBidi" w:hAnsiTheme="minorBidi"/>
          <w:sz w:val="20"/>
          <w:szCs w:val="20"/>
        </w:rPr>
        <w:t xml:space="preserve">of </w:t>
      </w:r>
      <w:r>
        <w:rPr>
          <w:rFonts w:asciiTheme="minorBidi" w:hAnsiTheme="minorBidi"/>
          <w:sz w:val="20"/>
          <w:szCs w:val="20"/>
        </w:rPr>
        <w:t xml:space="preserve">the </w:t>
      </w:r>
      <w:r w:rsidR="00CF2113" w:rsidRPr="006D7BFC">
        <w:rPr>
          <w:rFonts w:asciiTheme="minorBidi" w:hAnsiTheme="minorBidi"/>
          <w:sz w:val="20"/>
          <w:szCs w:val="20"/>
        </w:rPr>
        <w:t>respondents</w:t>
      </w:r>
      <w:r>
        <w:rPr>
          <w:rFonts w:asciiTheme="minorBidi" w:hAnsiTheme="minorBidi"/>
          <w:sz w:val="20"/>
          <w:szCs w:val="20"/>
        </w:rPr>
        <w:t xml:space="preserve"> </w:t>
      </w:r>
      <w:r w:rsidR="00546F89">
        <w:rPr>
          <w:rFonts w:asciiTheme="minorBidi" w:hAnsiTheme="minorBidi"/>
          <w:sz w:val="20"/>
          <w:szCs w:val="20"/>
        </w:rPr>
        <w:t xml:space="preserve">that are </w:t>
      </w:r>
      <w:r>
        <w:rPr>
          <w:rFonts w:asciiTheme="minorBidi" w:hAnsiTheme="minorBidi"/>
          <w:sz w:val="20"/>
          <w:szCs w:val="20"/>
        </w:rPr>
        <w:t xml:space="preserve">focused on the domestic market reported that </w:t>
      </w:r>
      <w:r w:rsidR="00CF2113" w:rsidRPr="006D7BFC">
        <w:rPr>
          <w:rFonts w:asciiTheme="minorBidi" w:hAnsiTheme="minorBidi"/>
          <w:sz w:val="20"/>
          <w:szCs w:val="20"/>
        </w:rPr>
        <w:t>average payment terms</w:t>
      </w:r>
      <w:r>
        <w:rPr>
          <w:rFonts w:asciiTheme="minorBidi" w:hAnsiTheme="minorBidi"/>
          <w:sz w:val="20"/>
          <w:szCs w:val="20"/>
        </w:rPr>
        <w:t xml:space="preserve"> over the last six months</w:t>
      </w:r>
      <w:r w:rsidR="00CF2113" w:rsidRPr="006D7BFC">
        <w:rPr>
          <w:rFonts w:asciiTheme="minorBidi" w:hAnsiTheme="minorBidi"/>
          <w:sz w:val="20"/>
          <w:szCs w:val="20"/>
        </w:rPr>
        <w:t xml:space="preserve"> varied between 60 to 90 days. </w:t>
      </w:r>
      <w:r>
        <w:rPr>
          <w:rFonts w:asciiTheme="minorBidi" w:hAnsiTheme="minorBidi"/>
          <w:sz w:val="20"/>
          <w:szCs w:val="20"/>
        </w:rPr>
        <w:t>T</w:t>
      </w:r>
      <w:r w:rsidR="00CF2113" w:rsidRPr="006D7BFC">
        <w:rPr>
          <w:rFonts w:asciiTheme="minorBidi" w:hAnsiTheme="minorBidi"/>
          <w:sz w:val="20"/>
          <w:szCs w:val="20"/>
        </w:rPr>
        <w:t>he maximum payment term</w:t>
      </w:r>
      <w:r>
        <w:rPr>
          <w:rFonts w:asciiTheme="minorBidi" w:hAnsiTheme="minorBidi"/>
          <w:sz w:val="20"/>
          <w:szCs w:val="20"/>
        </w:rPr>
        <w:t>s</w:t>
      </w:r>
      <w:r w:rsidR="00CF2113" w:rsidRPr="006D7BFC">
        <w:rPr>
          <w:rFonts w:asciiTheme="minorBidi" w:hAnsiTheme="minorBidi"/>
          <w:sz w:val="20"/>
          <w:szCs w:val="20"/>
        </w:rPr>
        <w:t xml:space="preserve"> offered by domestic companies to their clients was shorter than </w:t>
      </w:r>
      <w:r>
        <w:rPr>
          <w:rFonts w:asciiTheme="minorBidi" w:hAnsiTheme="minorBidi"/>
          <w:sz w:val="20"/>
          <w:szCs w:val="20"/>
        </w:rPr>
        <w:t xml:space="preserve">those granted by </w:t>
      </w:r>
      <w:r w:rsidR="00CF2113" w:rsidRPr="006D7BFC">
        <w:rPr>
          <w:rFonts w:asciiTheme="minorBidi" w:hAnsiTheme="minorBidi"/>
          <w:sz w:val="20"/>
          <w:szCs w:val="20"/>
        </w:rPr>
        <w:t>exporters</w:t>
      </w:r>
      <w:r>
        <w:rPr>
          <w:rFonts w:asciiTheme="minorBidi" w:hAnsiTheme="minorBidi"/>
          <w:sz w:val="20"/>
          <w:szCs w:val="20"/>
        </w:rPr>
        <w:t>,</w:t>
      </w:r>
      <w:r w:rsidR="00CF2113" w:rsidRPr="006D7BFC">
        <w:rPr>
          <w:rFonts w:asciiTheme="minorBidi" w:hAnsiTheme="minorBidi"/>
          <w:sz w:val="20"/>
          <w:szCs w:val="20"/>
        </w:rPr>
        <w:t xml:space="preserve"> as only 27</w:t>
      </w:r>
      <w:r>
        <w:rPr>
          <w:rFonts w:asciiTheme="minorBidi" w:hAnsiTheme="minorBidi"/>
          <w:sz w:val="20"/>
          <w:szCs w:val="20"/>
        </w:rPr>
        <w:t>%</w:t>
      </w:r>
      <w:r w:rsidR="00CF2113" w:rsidRPr="006D7BFC">
        <w:rPr>
          <w:rFonts w:asciiTheme="minorBidi" w:hAnsiTheme="minorBidi"/>
          <w:sz w:val="20"/>
          <w:szCs w:val="20"/>
        </w:rPr>
        <w:t xml:space="preserve"> offered 120 days to clients</w:t>
      </w:r>
      <w:r>
        <w:rPr>
          <w:rFonts w:asciiTheme="minorBidi" w:hAnsiTheme="minorBidi"/>
          <w:sz w:val="20"/>
          <w:szCs w:val="20"/>
        </w:rPr>
        <w:t xml:space="preserve"> (</w:t>
      </w:r>
      <w:r w:rsidR="00CF2113" w:rsidRPr="006D7BFC">
        <w:rPr>
          <w:rFonts w:asciiTheme="minorBidi" w:hAnsiTheme="minorBidi"/>
          <w:sz w:val="20"/>
          <w:szCs w:val="20"/>
        </w:rPr>
        <w:t xml:space="preserve">compared </w:t>
      </w:r>
      <w:r>
        <w:rPr>
          <w:rFonts w:asciiTheme="minorBidi" w:hAnsiTheme="minorBidi"/>
          <w:sz w:val="20"/>
          <w:szCs w:val="20"/>
        </w:rPr>
        <w:t>to</w:t>
      </w:r>
      <w:r w:rsidR="00CF2113" w:rsidRPr="006D7BFC">
        <w:rPr>
          <w:rFonts w:asciiTheme="minorBidi" w:hAnsiTheme="minorBidi"/>
          <w:sz w:val="20"/>
          <w:szCs w:val="20"/>
        </w:rPr>
        <w:t xml:space="preserve"> 35</w:t>
      </w:r>
      <w:r>
        <w:rPr>
          <w:rFonts w:asciiTheme="minorBidi" w:hAnsiTheme="minorBidi"/>
          <w:sz w:val="20"/>
          <w:szCs w:val="20"/>
        </w:rPr>
        <w:t>%</w:t>
      </w:r>
      <w:r w:rsidR="00CF2113" w:rsidRPr="006D7BFC">
        <w:rPr>
          <w:rFonts w:asciiTheme="minorBidi" w:hAnsiTheme="minorBidi"/>
          <w:sz w:val="20"/>
          <w:szCs w:val="20"/>
        </w:rPr>
        <w:t xml:space="preserve"> of exporters</w:t>
      </w:r>
      <w:r>
        <w:rPr>
          <w:rFonts w:asciiTheme="minorBidi" w:hAnsiTheme="minorBidi"/>
          <w:sz w:val="20"/>
          <w:szCs w:val="20"/>
        </w:rPr>
        <w:t>)</w:t>
      </w:r>
      <w:r w:rsidR="00CF2113" w:rsidRPr="006D7BFC">
        <w:rPr>
          <w:rFonts w:asciiTheme="minorBidi" w:hAnsiTheme="minorBidi"/>
          <w:sz w:val="20"/>
          <w:szCs w:val="20"/>
        </w:rPr>
        <w:t>.</w:t>
      </w:r>
    </w:p>
    <w:p w:rsidR="00CF52A2" w:rsidRDefault="00CF52A2" w:rsidP="004A6167">
      <w:pPr>
        <w:pStyle w:val="NoSpacing1"/>
        <w:suppressAutoHyphens/>
        <w:spacing w:line="270" w:lineRule="exact"/>
        <w:jc w:val="both"/>
        <w:rPr>
          <w:rFonts w:asciiTheme="minorBidi" w:hAnsiTheme="minorBidi"/>
          <w:b/>
          <w:sz w:val="20"/>
          <w:szCs w:val="20"/>
        </w:rPr>
      </w:pPr>
    </w:p>
    <w:p w:rsidR="00CF52A2" w:rsidRPr="006D7BFC" w:rsidRDefault="00CF52A2" w:rsidP="004A6167">
      <w:pPr>
        <w:pStyle w:val="NoSpacing1"/>
        <w:suppressAutoHyphens/>
        <w:spacing w:line="270" w:lineRule="exact"/>
        <w:jc w:val="both"/>
        <w:rPr>
          <w:rFonts w:asciiTheme="minorBidi" w:hAnsiTheme="minorBidi"/>
          <w:b/>
          <w:sz w:val="20"/>
          <w:szCs w:val="20"/>
        </w:rPr>
      </w:pPr>
    </w:p>
    <w:p w:rsidR="007644B0" w:rsidRPr="004A6167" w:rsidRDefault="007644B0" w:rsidP="007644B0">
      <w:pPr>
        <w:pStyle w:val="NoSpacing1"/>
        <w:suppressAutoHyphens/>
        <w:spacing w:line="270" w:lineRule="exact"/>
        <w:ind w:left="720"/>
        <w:jc w:val="both"/>
        <w:rPr>
          <w:rFonts w:asciiTheme="minorBidi" w:hAnsiTheme="minorBidi"/>
          <w:b/>
          <w:sz w:val="18"/>
          <w:szCs w:val="18"/>
        </w:rPr>
      </w:pPr>
      <w:r w:rsidRPr="004A6167">
        <w:rPr>
          <w:rFonts w:asciiTheme="minorBidi" w:hAnsiTheme="minorBidi"/>
          <w:b/>
          <w:sz w:val="18"/>
          <w:szCs w:val="18"/>
        </w:rPr>
        <w:t xml:space="preserve">Average </w:t>
      </w:r>
      <w:r>
        <w:rPr>
          <w:rFonts w:asciiTheme="minorBidi" w:hAnsiTheme="minorBidi"/>
          <w:b/>
          <w:sz w:val="18"/>
          <w:szCs w:val="18"/>
        </w:rPr>
        <w:t>P</w:t>
      </w:r>
      <w:r w:rsidRPr="004A6167">
        <w:rPr>
          <w:rFonts w:asciiTheme="minorBidi" w:hAnsiTheme="minorBidi"/>
          <w:b/>
          <w:sz w:val="18"/>
          <w:szCs w:val="18"/>
        </w:rPr>
        <w:t xml:space="preserve">ayment </w:t>
      </w:r>
      <w:r>
        <w:rPr>
          <w:rFonts w:asciiTheme="minorBidi" w:hAnsiTheme="minorBidi"/>
          <w:b/>
          <w:sz w:val="18"/>
          <w:szCs w:val="18"/>
        </w:rPr>
        <w:t>P</w:t>
      </w:r>
      <w:r w:rsidRPr="004A6167">
        <w:rPr>
          <w:rFonts w:asciiTheme="minorBidi" w:hAnsiTheme="minorBidi"/>
          <w:b/>
          <w:sz w:val="18"/>
          <w:szCs w:val="18"/>
        </w:rPr>
        <w:t xml:space="preserve">eriods by </w:t>
      </w:r>
      <w:r>
        <w:rPr>
          <w:rFonts w:asciiTheme="minorBidi" w:hAnsiTheme="minorBidi"/>
          <w:b/>
          <w:sz w:val="18"/>
          <w:szCs w:val="18"/>
        </w:rPr>
        <w:t>Sector</w:t>
      </w:r>
      <w:r w:rsidRPr="004A6167">
        <w:rPr>
          <w:rFonts w:asciiTheme="minorBidi" w:hAnsiTheme="minorBidi"/>
          <w:b/>
          <w:sz w:val="18"/>
          <w:szCs w:val="18"/>
        </w:rPr>
        <w:t xml:space="preserve"> in 2016</w:t>
      </w:r>
    </w:p>
    <w:p w:rsidR="00CF2113" w:rsidRPr="006D7BFC" w:rsidRDefault="00CF2113" w:rsidP="004A6167">
      <w:pPr>
        <w:pStyle w:val="NoSpacing1"/>
        <w:suppressAutoHyphens/>
        <w:spacing w:line="270" w:lineRule="exact"/>
        <w:ind w:left="720"/>
        <w:jc w:val="both"/>
        <w:rPr>
          <w:rFonts w:asciiTheme="minorBidi" w:hAnsiTheme="minorBidi"/>
          <w:sz w:val="20"/>
          <w:szCs w:val="20"/>
        </w:rPr>
      </w:pPr>
      <w:r w:rsidRPr="004A6167">
        <w:rPr>
          <w:rFonts w:asciiTheme="minorBidi" w:hAnsiTheme="minorBidi"/>
          <w:b/>
          <w:sz w:val="18"/>
          <w:szCs w:val="18"/>
          <w:u w:val="single"/>
        </w:rPr>
        <w:t>For domestic suppliers</w:t>
      </w:r>
      <w:r w:rsidRPr="004A6167">
        <w:rPr>
          <w:rFonts w:asciiTheme="minorBidi" w:hAnsiTheme="minorBidi"/>
          <w:b/>
          <w:sz w:val="18"/>
          <w:szCs w:val="18"/>
        </w:rPr>
        <w:t xml:space="preserve"> (% of respondents)</w:t>
      </w:r>
    </w:p>
    <w:tbl>
      <w:tblPr>
        <w:tblStyle w:val="TableGrid"/>
        <w:tblW w:w="8640" w:type="dxa"/>
        <w:tblInd w:w="828" w:type="dxa"/>
        <w:tblLayout w:type="fixed"/>
        <w:tblLook w:val="04A0" w:firstRow="1" w:lastRow="0" w:firstColumn="1" w:lastColumn="0" w:noHBand="0" w:noVBand="1"/>
      </w:tblPr>
      <w:tblGrid>
        <w:gridCol w:w="1530"/>
        <w:gridCol w:w="1350"/>
        <w:gridCol w:w="1350"/>
        <w:gridCol w:w="1350"/>
        <w:gridCol w:w="1350"/>
        <w:gridCol w:w="1710"/>
      </w:tblGrid>
      <w:tr w:rsidR="00CF2113" w:rsidRPr="006D7BFC" w:rsidTr="003C74A1">
        <w:tc>
          <w:tcPr>
            <w:tcW w:w="1530" w:type="dxa"/>
          </w:tcPr>
          <w:p w:rsidR="00CF2113" w:rsidRPr="006D7BFC" w:rsidRDefault="00CF2113" w:rsidP="004A6167">
            <w:pPr>
              <w:pStyle w:val="NoSpacing1"/>
              <w:suppressAutoHyphens/>
              <w:spacing w:line="270" w:lineRule="exact"/>
              <w:jc w:val="both"/>
              <w:rPr>
                <w:rFonts w:asciiTheme="minorBidi" w:hAnsiTheme="minorBidi"/>
                <w:b/>
                <w:sz w:val="20"/>
                <w:szCs w:val="20"/>
              </w:rPr>
            </w:pPr>
            <w:r w:rsidRPr="006D7BFC">
              <w:rPr>
                <w:rFonts w:asciiTheme="minorBidi" w:hAnsiTheme="minorBidi"/>
                <w:b/>
                <w:sz w:val="20"/>
                <w:szCs w:val="20"/>
              </w:rPr>
              <w:t xml:space="preserve">Economic </w:t>
            </w:r>
          </w:p>
          <w:p w:rsidR="00CF2113" w:rsidRPr="006D7BFC" w:rsidRDefault="00CF2113" w:rsidP="004A6167">
            <w:pPr>
              <w:pStyle w:val="NoSpacing1"/>
              <w:suppressAutoHyphens/>
              <w:spacing w:line="270" w:lineRule="exact"/>
              <w:jc w:val="both"/>
              <w:rPr>
                <w:rFonts w:asciiTheme="minorBidi" w:hAnsiTheme="minorBidi"/>
                <w:b/>
                <w:sz w:val="20"/>
                <w:szCs w:val="20"/>
              </w:rPr>
            </w:pPr>
            <w:r w:rsidRPr="006D7BFC">
              <w:rPr>
                <w:rFonts w:asciiTheme="minorBidi" w:hAnsiTheme="minorBidi"/>
                <w:b/>
                <w:sz w:val="20"/>
                <w:szCs w:val="20"/>
              </w:rPr>
              <w:t>Activity</w:t>
            </w:r>
          </w:p>
        </w:tc>
        <w:tc>
          <w:tcPr>
            <w:tcW w:w="1350" w:type="dxa"/>
          </w:tcPr>
          <w:p w:rsidR="00CF2113" w:rsidRPr="006D7BFC" w:rsidRDefault="00CF2113" w:rsidP="004A6167">
            <w:pPr>
              <w:pStyle w:val="NoSpacing1"/>
              <w:suppressAutoHyphens/>
              <w:spacing w:line="270" w:lineRule="exact"/>
              <w:jc w:val="center"/>
              <w:rPr>
                <w:rFonts w:asciiTheme="minorBidi" w:hAnsiTheme="minorBidi"/>
                <w:b/>
                <w:sz w:val="20"/>
                <w:szCs w:val="20"/>
              </w:rPr>
            </w:pPr>
            <w:r w:rsidRPr="006D7BFC">
              <w:rPr>
                <w:rFonts w:asciiTheme="minorBidi" w:hAnsiTheme="minorBidi"/>
                <w:b/>
                <w:sz w:val="20"/>
                <w:szCs w:val="20"/>
              </w:rPr>
              <w:t>30 Days</w:t>
            </w:r>
          </w:p>
        </w:tc>
        <w:tc>
          <w:tcPr>
            <w:tcW w:w="1350" w:type="dxa"/>
          </w:tcPr>
          <w:p w:rsidR="00CF2113" w:rsidRPr="006D7BFC" w:rsidRDefault="00CF2113" w:rsidP="004A6167">
            <w:pPr>
              <w:pStyle w:val="NoSpacing1"/>
              <w:suppressAutoHyphens/>
              <w:spacing w:line="270" w:lineRule="exact"/>
              <w:jc w:val="center"/>
              <w:rPr>
                <w:rFonts w:asciiTheme="minorBidi" w:hAnsiTheme="minorBidi"/>
                <w:b/>
                <w:sz w:val="20"/>
                <w:szCs w:val="20"/>
              </w:rPr>
            </w:pPr>
            <w:r w:rsidRPr="006D7BFC">
              <w:rPr>
                <w:rFonts w:asciiTheme="minorBidi" w:hAnsiTheme="minorBidi"/>
                <w:b/>
                <w:sz w:val="20"/>
                <w:szCs w:val="20"/>
              </w:rPr>
              <w:t>60 Days</w:t>
            </w:r>
          </w:p>
        </w:tc>
        <w:tc>
          <w:tcPr>
            <w:tcW w:w="1350" w:type="dxa"/>
          </w:tcPr>
          <w:p w:rsidR="00CF2113" w:rsidRPr="006D7BFC" w:rsidRDefault="00CF2113" w:rsidP="004A6167">
            <w:pPr>
              <w:pStyle w:val="NoSpacing1"/>
              <w:suppressAutoHyphens/>
              <w:spacing w:line="270" w:lineRule="exact"/>
              <w:jc w:val="center"/>
              <w:rPr>
                <w:rFonts w:asciiTheme="minorBidi" w:hAnsiTheme="minorBidi"/>
                <w:b/>
                <w:sz w:val="20"/>
                <w:szCs w:val="20"/>
              </w:rPr>
            </w:pPr>
            <w:r w:rsidRPr="006D7BFC">
              <w:rPr>
                <w:rFonts w:asciiTheme="minorBidi" w:hAnsiTheme="minorBidi"/>
                <w:b/>
                <w:sz w:val="20"/>
                <w:szCs w:val="20"/>
              </w:rPr>
              <w:t>90 Days</w:t>
            </w:r>
          </w:p>
        </w:tc>
        <w:tc>
          <w:tcPr>
            <w:tcW w:w="1350" w:type="dxa"/>
          </w:tcPr>
          <w:p w:rsidR="00CF2113" w:rsidRPr="006D7BFC" w:rsidRDefault="00CF2113" w:rsidP="004A6167">
            <w:pPr>
              <w:pStyle w:val="NoSpacing1"/>
              <w:suppressAutoHyphens/>
              <w:spacing w:line="270" w:lineRule="exact"/>
              <w:jc w:val="center"/>
              <w:rPr>
                <w:rFonts w:asciiTheme="minorBidi" w:hAnsiTheme="minorBidi"/>
                <w:b/>
                <w:sz w:val="20"/>
                <w:szCs w:val="20"/>
              </w:rPr>
            </w:pPr>
            <w:r w:rsidRPr="006D7BFC">
              <w:rPr>
                <w:rFonts w:asciiTheme="minorBidi" w:hAnsiTheme="minorBidi"/>
                <w:b/>
                <w:sz w:val="20"/>
                <w:szCs w:val="20"/>
              </w:rPr>
              <w:t>120 Days</w:t>
            </w:r>
          </w:p>
        </w:tc>
        <w:tc>
          <w:tcPr>
            <w:tcW w:w="1710" w:type="dxa"/>
          </w:tcPr>
          <w:p w:rsidR="00CF2113" w:rsidRPr="006D7BFC" w:rsidRDefault="00CF2113" w:rsidP="004A6167">
            <w:pPr>
              <w:pStyle w:val="NoSpacing1"/>
              <w:suppressAutoHyphens/>
              <w:spacing w:line="270" w:lineRule="exact"/>
              <w:jc w:val="center"/>
              <w:rPr>
                <w:rFonts w:asciiTheme="minorBidi" w:hAnsiTheme="minorBidi"/>
                <w:b/>
                <w:sz w:val="20"/>
                <w:szCs w:val="20"/>
              </w:rPr>
            </w:pPr>
            <w:r w:rsidRPr="006D7BFC">
              <w:rPr>
                <w:rFonts w:asciiTheme="minorBidi" w:hAnsiTheme="minorBidi"/>
                <w:b/>
                <w:sz w:val="20"/>
                <w:szCs w:val="20"/>
              </w:rPr>
              <w:t>Over 120 days</w:t>
            </w:r>
          </w:p>
        </w:tc>
      </w:tr>
      <w:tr w:rsidR="00CF2113" w:rsidRPr="006D7BFC" w:rsidTr="003C74A1">
        <w:tc>
          <w:tcPr>
            <w:tcW w:w="1530" w:type="dxa"/>
          </w:tcPr>
          <w:p w:rsidR="00CF2113" w:rsidRPr="006D7BFC" w:rsidRDefault="00CF2113" w:rsidP="004A6167">
            <w:pPr>
              <w:pStyle w:val="NoSpacing1"/>
              <w:suppressAutoHyphens/>
              <w:spacing w:line="270" w:lineRule="exact"/>
              <w:jc w:val="both"/>
              <w:rPr>
                <w:rFonts w:asciiTheme="minorBidi" w:hAnsiTheme="minorBidi"/>
                <w:sz w:val="20"/>
                <w:szCs w:val="20"/>
              </w:rPr>
            </w:pPr>
            <w:r w:rsidRPr="006D7BFC">
              <w:rPr>
                <w:rFonts w:asciiTheme="minorBidi" w:hAnsiTheme="minorBidi"/>
                <w:sz w:val="20"/>
                <w:szCs w:val="20"/>
              </w:rPr>
              <w:t>Agro-food</w:t>
            </w:r>
          </w:p>
        </w:tc>
        <w:tc>
          <w:tcPr>
            <w:tcW w:w="135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25%</w:t>
            </w:r>
          </w:p>
        </w:tc>
        <w:tc>
          <w:tcPr>
            <w:tcW w:w="135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30%</w:t>
            </w:r>
          </w:p>
        </w:tc>
        <w:tc>
          <w:tcPr>
            <w:tcW w:w="135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25%</w:t>
            </w:r>
          </w:p>
        </w:tc>
        <w:tc>
          <w:tcPr>
            <w:tcW w:w="135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5%</w:t>
            </w:r>
          </w:p>
        </w:tc>
        <w:tc>
          <w:tcPr>
            <w:tcW w:w="1710" w:type="dxa"/>
            <w:shd w:val="clear" w:color="auto" w:fill="D9D9D9" w:themeFill="background1" w:themeFillShade="D9"/>
          </w:tcPr>
          <w:p w:rsidR="00CF2113" w:rsidRPr="006D7BFC" w:rsidRDefault="00CF2113" w:rsidP="004A6167">
            <w:pPr>
              <w:pStyle w:val="NoSpacing1"/>
              <w:suppressAutoHyphens/>
              <w:spacing w:line="270" w:lineRule="exact"/>
              <w:jc w:val="center"/>
              <w:rPr>
                <w:rFonts w:asciiTheme="minorBidi" w:hAnsiTheme="minorBidi"/>
                <w:sz w:val="20"/>
                <w:szCs w:val="20"/>
              </w:rPr>
            </w:pPr>
          </w:p>
        </w:tc>
      </w:tr>
      <w:tr w:rsidR="00CF2113" w:rsidRPr="006D7BFC" w:rsidTr="003C74A1">
        <w:tc>
          <w:tcPr>
            <w:tcW w:w="1530" w:type="dxa"/>
          </w:tcPr>
          <w:p w:rsidR="00CF2113" w:rsidRPr="006D7BFC" w:rsidRDefault="00CF2113" w:rsidP="004A6167">
            <w:pPr>
              <w:pStyle w:val="NoSpacing1"/>
              <w:suppressAutoHyphens/>
              <w:spacing w:line="270" w:lineRule="exact"/>
              <w:jc w:val="both"/>
              <w:rPr>
                <w:rFonts w:asciiTheme="minorBidi" w:hAnsiTheme="minorBidi"/>
                <w:sz w:val="20"/>
                <w:szCs w:val="20"/>
              </w:rPr>
            </w:pPr>
            <w:r w:rsidRPr="006D7BFC">
              <w:rPr>
                <w:rFonts w:asciiTheme="minorBidi" w:hAnsiTheme="minorBidi"/>
                <w:sz w:val="20"/>
                <w:szCs w:val="20"/>
              </w:rPr>
              <w:t>Automotive</w:t>
            </w:r>
          </w:p>
        </w:tc>
        <w:tc>
          <w:tcPr>
            <w:tcW w:w="135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17%</w:t>
            </w:r>
          </w:p>
        </w:tc>
        <w:tc>
          <w:tcPr>
            <w:tcW w:w="1350" w:type="dxa"/>
            <w:shd w:val="clear" w:color="auto" w:fill="D9D9D9" w:themeFill="background1" w:themeFillShade="D9"/>
          </w:tcPr>
          <w:p w:rsidR="00CF2113" w:rsidRPr="006D7BFC" w:rsidRDefault="00CF2113" w:rsidP="004A6167">
            <w:pPr>
              <w:pStyle w:val="NoSpacing1"/>
              <w:suppressAutoHyphens/>
              <w:spacing w:line="270" w:lineRule="exact"/>
              <w:jc w:val="center"/>
              <w:rPr>
                <w:rFonts w:asciiTheme="minorBidi" w:hAnsiTheme="minorBidi"/>
                <w:sz w:val="20"/>
                <w:szCs w:val="20"/>
              </w:rPr>
            </w:pPr>
          </w:p>
        </w:tc>
        <w:tc>
          <w:tcPr>
            <w:tcW w:w="135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17%</w:t>
            </w:r>
          </w:p>
        </w:tc>
        <w:tc>
          <w:tcPr>
            <w:tcW w:w="135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17%</w:t>
            </w:r>
          </w:p>
        </w:tc>
        <w:tc>
          <w:tcPr>
            <w:tcW w:w="1710" w:type="dxa"/>
            <w:shd w:val="clear" w:color="auto" w:fill="D9D9D9" w:themeFill="background1" w:themeFillShade="D9"/>
          </w:tcPr>
          <w:p w:rsidR="00CF2113" w:rsidRPr="006D7BFC" w:rsidRDefault="00CF2113" w:rsidP="004A6167">
            <w:pPr>
              <w:pStyle w:val="NoSpacing1"/>
              <w:suppressAutoHyphens/>
              <w:spacing w:line="270" w:lineRule="exact"/>
              <w:jc w:val="center"/>
              <w:rPr>
                <w:rFonts w:asciiTheme="minorBidi" w:hAnsiTheme="minorBidi"/>
                <w:sz w:val="20"/>
                <w:szCs w:val="20"/>
              </w:rPr>
            </w:pPr>
          </w:p>
        </w:tc>
      </w:tr>
      <w:tr w:rsidR="003C74A1" w:rsidRPr="006D7BFC" w:rsidTr="003C74A1">
        <w:tc>
          <w:tcPr>
            <w:tcW w:w="1530" w:type="dxa"/>
          </w:tcPr>
          <w:p w:rsidR="00CF2113" w:rsidRPr="006D7BFC" w:rsidRDefault="00CF2113" w:rsidP="004A6167">
            <w:pPr>
              <w:pStyle w:val="NoSpacing1"/>
              <w:suppressAutoHyphens/>
              <w:spacing w:line="270" w:lineRule="exact"/>
              <w:jc w:val="both"/>
              <w:rPr>
                <w:rFonts w:asciiTheme="minorBidi" w:hAnsiTheme="minorBidi"/>
                <w:sz w:val="20"/>
                <w:szCs w:val="20"/>
              </w:rPr>
            </w:pPr>
            <w:r w:rsidRPr="006D7BFC">
              <w:rPr>
                <w:rFonts w:asciiTheme="minorBidi" w:hAnsiTheme="minorBidi"/>
                <w:sz w:val="20"/>
                <w:szCs w:val="20"/>
              </w:rPr>
              <w:t>Chemicals</w:t>
            </w:r>
          </w:p>
        </w:tc>
        <w:tc>
          <w:tcPr>
            <w:tcW w:w="1350" w:type="dxa"/>
            <w:shd w:val="clear" w:color="auto" w:fill="D9D9D9" w:themeFill="background1" w:themeFillShade="D9"/>
          </w:tcPr>
          <w:p w:rsidR="00CF2113" w:rsidRPr="006D7BFC" w:rsidRDefault="00CF2113" w:rsidP="004A6167">
            <w:pPr>
              <w:pStyle w:val="NoSpacing1"/>
              <w:suppressAutoHyphens/>
              <w:spacing w:line="270" w:lineRule="exact"/>
              <w:jc w:val="center"/>
              <w:rPr>
                <w:rFonts w:asciiTheme="minorBidi" w:hAnsiTheme="minorBidi"/>
                <w:sz w:val="20"/>
                <w:szCs w:val="20"/>
              </w:rPr>
            </w:pPr>
          </w:p>
        </w:tc>
        <w:tc>
          <w:tcPr>
            <w:tcW w:w="1350" w:type="dxa"/>
            <w:shd w:val="clear" w:color="auto" w:fill="D9D9D9" w:themeFill="background1" w:themeFillShade="D9"/>
          </w:tcPr>
          <w:p w:rsidR="00CF2113" w:rsidRPr="006D7BFC" w:rsidRDefault="00CF2113" w:rsidP="004A6167">
            <w:pPr>
              <w:pStyle w:val="NoSpacing1"/>
              <w:suppressAutoHyphens/>
              <w:spacing w:line="270" w:lineRule="exact"/>
              <w:jc w:val="center"/>
              <w:rPr>
                <w:rFonts w:asciiTheme="minorBidi" w:hAnsiTheme="minorBidi"/>
                <w:sz w:val="20"/>
                <w:szCs w:val="20"/>
              </w:rPr>
            </w:pPr>
          </w:p>
        </w:tc>
        <w:tc>
          <w:tcPr>
            <w:tcW w:w="135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43%</w:t>
            </w:r>
          </w:p>
        </w:tc>
        <w:tc>
          <w:tcPr>
            <w:tcW w:w="135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29%</w:t>
            </w:r>
          </w:p>
        </w:tc>
        <w:tc>
          <w:tcPr>
            <w:tcW w:w="1710" w:type="dxa"/>
            <w:shd w:val="clear" w:color="auto" w:fill="D9D9D9" w:themeFill="background1" w:themeFillShade="D9"/>
          </w:tcPr>
          <w:p w:rsidR="00CF2113" w:rsidRPr="006D7BFC" w:rsidRDefault="00CF2113" w:rsidP="004A6167">
            <w:pPr>
              <w:pStyle w:val="NoSpacing1"/>
              <w:suppressAutoHyphens/>
              <w:spacing w:line="270" w:lineRule="exact"/>
              <w:jc w:val="center"/>
              <w:rPr>
                <w:rFonts w:asciiTheme="minorBidi" w:hAnsiTheme="minorBidi"/>
                <w:sz w:val="20"/>
                <w:szCs w:val="20"/>
              </w:rPr>
            </w:pPr>
          </w:p>
        </w:tc>
      </w:tr>
      <w:tr w:rsidR="00CF2113" w:rsidRPr="006D7BFC" w:rsidTr="003C74A1">
        <w:tc>
          <w:tcPr>
            <w:tcW w:w="1530" w:type="dxa"/>
          </w:tcPr>
          <w:p w:rsidR="00CF2113" w:rsidRPr="006D7BFC" w:rsidRDefault="00CF2113" w:rsidP="004A6167">
            <w:pPr>
              <w:pStyle w:val="NoSpacing1"/>
              <w:suppressAutoHyphens/>
              <w:spacing w:line="270" w:lineRule="exact"/>
              <w:jc w:val="both"/>
              <w:rPr>
                <w:rFonts w:asciiTheme="minorBidi" w:hAnsiTheme="minorBidi"/>
                <w:sz w:val="20"/>
                <w:szCs w:val="20"/>
              </w:rPr>
            </w:pPr>
            <w:r w:rsidRPr="006D7BFC">
              <w:rPr>
                <w:rFonts w:asciiTheme="minorBidi" w:hAnsiTheme="minorBidi"/>
                <w:sz w:val="20"/>
                <w:szCs w:val="20"/>
              </w:rPr>
              <w:t>Construction</w:t>
            </w:r>
          </w:p>
        </w:tc>
        <w:tc>
          <w:tcPr>
            <w:tcW w:w="135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2%</w:t>
            </w:r>
          </w:p>
        </w:tc>
        <w:tc>
          <w:tcPr>
            <w:tcW w:w="135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23%</w:t>
            </w:r>
          </w:p>
        </w:tc>
        <w:tc>
          <w:tcPr>
            <w:tcW w:w="135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28%</w:t>
            </w:r>
          </w:p>
        </w:tc>
        <w:tc>
          <w:tcPr>
            <w:tcW w:w="135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26%</w:t>
            </w:r>
          </w:p>
        </w:tc>
        <w:tc>
          <w:tcPr>
            <w:tcW w:w="171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19%</w:t>
            </w:r>
          </w:p>
        </w:tc>
      </w:tr>
      <w:tr w:rsidR="00CF2113" w:rsidRPr="006D7BFC" w:rsidTr="003C74A1">
        <w:tc>
          <w:tcPr>
            <w:tcW w:w="1530" w:type="dxa"/>
          </w:tcPr>
          <w:p w:rsidR="00CF2113" w:rsidRPr="006D7BFC" w:rsidRDefault="00CF2113" w:rsidP="004A6167">
            <w:pPr>
              <w:pStyle w:val="NoSpacing1"/>
              <w:suppressAutoHyphens/>
              <w:spacing w:line="270" w:lineRule="exact"/>
              <w:jc w:val="both"/>
              <w:rPr>
                <w:rFonts w:asciiTheme="minorBidi" w:hAnsiTheme="minorBidi"/>
                <w:sz w:val="20"/>
                <w:szCs w:val="20"/>
              </w:rPr>
            </w:pPr>
            <w:r w:rsidRPr="006D7BFC">
              <w:rPr>
                <w:rFonts w:asciiTheme="minorBidi" w:hAnsiTheme="minorBidi"/>
                <w:sz w:val="20"/>
                <w:szCs w:val="20"/>
              </w:rPr>
              <w:t>Energy</w:t>
            </w:r>
          </w:p>
        </w:tc>
        <w:tc>
          <w:tcPr>
            <w:tcW w:w="135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22%</w:t>
            </w:r>
          </w:p>
        </w:tc>
        <w:tc>
          <w:tcPr>
            <w:tcW w:w="135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44%</w:t>
            </w:r>
          </w:p>
        </w:tc>
        <w:tc>
          <w:tcPr>
            <w:tcW w:w="1350" w:type="dxa"/>
            <w:shd w:val="clear" w:color="auto" w:fill="D9D9D9" w:themeFill="background1" w:themeFillShade="D9"/>
          </w:tcPr>
          <w:p w:rsidR="00CF2113" w:rsidRPr="006D7BFC" w:rsidRDefault="00CF2113" w:rsidP="004A6167">
            <w:pPr>
              <w:pStyle w:val="NoSpacing1"/>
              <w:suppressAutoHyphens/>
              <w:spacing w:line="270" w:lineRule="exact"/>
              <w:jc w:val="center"/>
              <w:rPr>
                <w:rFonts w:asciiTheme="minorBidi" w:hAnsiTheme="minorBidi"/>
                <w:sz w:val="20"/>
                <w:szCs w:val="20"/>
              </w:rPr>
            </w:pPr>
          </w:p>
        </w:tc>
        <w:tc>
          <w:tcPr>
            <w:tcW w:w="1350" w:type="dxa"/>
            <w:shd w:val="clear" w:color="auto" w:fill="D9D9D9" w:themeFill="background1" w:themeFillShade="D9"/>
          </w:tcPr>
          <w:p w:rsidR="00CF2113" w:rsidRPr="006D7BFC" w:rsidRDefault="00CF2113" w:rsidP="004A6167">
            <w:pPr>
              <w:pStyle w:val="NoSpacing1"/>
              <w:suppressAutoHyphens/>
              <w:spacing w:line="270" w:lineRule="exact"/>
              <w:jc w:val="center"/>
              <w:rPr>
                <w:rFonts w:asciiTheme="minorBidi" w:hAnsiTheme="minorBidi"/>
                <w:sz w:val="20"/>
                <w:szCs w:val="20"/>
              </w:rPr>
            </w:pPr>
          </w:p>
        </w:tc>
        <w:tc>
          <w:tcPr>
            <w:tcW w:w="1710" w:type="dxa"/>
            <w:shd w:val="clear" w:color="auto" w:fill="D9D9D9" w:themeFill="background1" w:themeFillShade="D9"/>
          </w:tcPr>
          <w:p w:rsidR="00CF2113" w:rsidRPr="006D7BFC" w:rsidRDefault="00CF2113" w:rsidP="004A6167">
            <w:pPr>
              <w:pStyle w:val="NoSpacing1"/>
              <w:suppressAutoHyphens/>
              <w:spacing w:line="270" w:lineRule="exact"/>
              <w:jc w:val="center"/>
              <w:rPr>
                <w:rFonts w:asciiTheme="minorBidi" w:hAnsiTheme="minorBidi"/>
                <w:sz w:val="20"/>
                <w:szCs w:val="20"/>
              </w:rPr>
            </w:pPr>
          </w:p>
        </w:tc>
      </w:tr>
      <w:tr w:rsidR="00CF2113" w:rsidRPr="006D7BFC" w:rsidTr="003C74A1">
        <w:tc>
          <w:tcPr>
            <w:tcW w:w="1530" w:type="dxa"/>
          </w:tcPr>
          <w:p w:rsidR="00CF2113" w:rsidRPr="006D7BFC" w:rsidRDefault="00CF2113" w:rsidP="004A6167">
            <w:pPr>
              <w:pStyle w:val="NoSpacing1"/>
              <w:suppressAutoHyphens/>
              <w:spacing w:line="270" w:lineRule="exact"/>
              <w:jc w:val="both"/>
              <w:rPr>
                <w:rFonts w:asciiTheme="minorBidi" w:hAnsiTheme="minorBidi"/>
                <w:sz w:val="20"/>
                <w:szCs w:val="20"/>
              </w:rPr>
            </w:pPr>
            <w:r w:rsidRPr="006D7BFC">
              <w:rPr>
                <w:rFonts w:asciiTheme="minorBidi" w:hAnsiTheme="minorBidi"/>
                <w:sz w:val="20"/>
                <w:szCs w:val="20"/>
              </w:rPr>
              <w:t>ICT</w:t>
            </w:r>
          </w:p>
        </w:tc>
        <w:tc>
          <w:tcPr>
            <w:tcW w:w="1350" w:type="dxa"/>
            <w:shd w:val="clear" w:color="auto" w:fill="D9D9D9" w:themeFill="background1" w:themeFillShade="D9"/>
          </w:tcPr>
          <w:p w:rsidR="00CF2113" w:rsidRPr="006D7BFC" w:rsidRDefault="00CF2113" w:rsidP="004A6167">
            <w:pPr>
              <w:pStyle w:val="NoSpacing1"/>
              <w:suppressAutoHyphens/>
              <w:spacing w:line="270" w:lineRule="exact"/>
              <w:jc w:val="center"/>
              <w:rPr>
                <w:rFonts w:asciiTheme="minorBidi" w:hAnsiTheme="minorBidi"/>
                <w:sz w:val="20"/>
                <w:szCs w:val="20"/>
              </w:rPr>
            </w:pPr>
          </w:p>
        </w:tc>
        <w:tc>
          <w:tcPr>
            <w:tcW w:w="135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60%</w:t>
            </w:r>
          </w:p>
        </w:tc>
        <w:tc>
          <w:tcPr>
            <w:tcW w:w="135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10%</w:t>
            </w:r>
          </w:p>
        </w:tc>
        <w:tc>
          <w:tcPr>
            <w:tcW w:w="1350" w:type="dxa"/>
            <w:shd w:val="clear" w:color="auto" w:fill="D9D9D9" w:themeFill="background1" w:themeFillShade="D9"/>
          </w:tcPr>
          <w:p w:rsidR="00CF2113" w:rsidRPr="006D7BFC" w:rsidRDefault="00CF2113" w:rsidP="004A6167">
            <w:pPr>
              <w:pStyle w:val="NoSpacing1"/>
              <w:suppressAutoHyphens/>
              <w:spacing w:line="270" w:lineRule="exact"/>
              <w:jc w:val="center"/>
              <w:rPr>
                <w:rFonts w:asciiTheme="minorBidi" w:hAnsiTheme="minorBidi"/>
                <w:sz w:val="20"/>
                <w:szCs w:val="20"/>
              </w:rPr>
            </w:pPr>
          </w:p>
        </w:tc>
        <w:tc>
          <w:tcPr>
            <w:tcW w:w="171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10%</w:t>
            </w:r>
          </w:p>
        </w:tc>
      </w:tr>
      <w:tr w:rsidR="00CF2113" w:rsidRPr="006D7BFC" w:rsidTr="003C74A1">
        <w:tc>
          <w:tcPr>
            <w:tcW w:w="1530" w:type="dxa"/>
          </w:tcPr>
          <w:p w:rsidR="00CF2113" w:rsidRPr="006D7BFC" w:rsidRDefault="00CF2113" w:rsidP="004A6167">
            <w:pPr>
              <w:pStyle w:val="NoSpacing1"/>
              <w:suppressAutoHyphens/>
              <w:spacing w:line="270" w:lineRule="exact"/>
              <w:jc w:val="both"/>
              <w:rPr>
                <w:rFonts w:asciiTheme="minorBidi" w:hAnsiTheme="minorBidi"/>
                <w:sz w:val="20"/>
                <w:szCs w:val="20"/>
              </w:rPr>
            </w:pPr>
            <w:r w:rsidRPr="006D7BFC">
              <w:rPr>
                <w:rFonts w:asciiTheme="minorBidi" w:hAnsiTheme="minorBidi"/>
                <w:sz w:val="20"/>
                <w:szCs w:val="20"/>
              </w:rPr>
              <w:t>Metals</w:t>
            </w:r>
          </w:p>
        </w:tc>
        <w:tc>
          <w:tcPr>
            <w:tcW w:w="1350" w:type="dxa"/>
            <w:shd w:val="clear" w:color="auto" w:fill="D9D9D9" w:themeFill="background1" w:themeFillShade="D9"/>
          </w:tcPr>
          <w:p w:rsidR="00CF2113" w:rsidRPr="006D7BFC" w:rsidRDefault="00CF2113" w:rsidP="004A6167">
            <w:pPr>
              <w:pStyle w:val="NoSpacing1"/>
              <w:suppressAutoHyphens/>
              <w:spacing w:line="270" w:lineRule="exact"/>
              <w:jc w:val="center"/>
              <w:rPr>
                <w:rFonts w:asciiTheme="minorBidi" w:hAnsiTheme="minorBidi"/>
                <w:sz w:val="20"/>
                <w:szCs w:val="20"/>
              </w:rPr>
            </w:pPr>
          </w:p>
        </w:tc>
        <w:tc>
          <w:tcPr>
            <w:tcW w:w="135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27%</w:t>
            </w:r>
          </w:p>
        </w:tc>
        <w:tc>
          <w:tcPr>
            <w:tcW w:w="135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13%</w:t>
            </w:r>
          </w:p>
        </w:tc>
        <w:tc>
          <w:tcPr>
            <w:tcW w:w="135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20%</w:t>
            </w:r>
          </w:p>
        </w:tc>
        <w:tc>
          <w:tcPr>
            <w:tcW w:w="1710" w:type="dxa"/>
            <w:shd w:val="clear" w:color="auto" w:fill="D9D9D9" w:themeFill="background1" w:themeFillShade="D9"/>
          </w:tcPr>
          <w:p w:rsidR="00CF2113" w:rsidRPr="006D7BFC" w:rsidRDefault="00CF2113" w:rsidP="004A6167">
            <w:pPr>
              <w:pStyle w:val="NoSpacing1"/>
              <w:suppressAutoHyphens/>
              <w:spacing w:line="270" w:lineRule="exact"/>
              <w:jc w:val="center"/>
              <w:rPr>
                <w:rFonts w:asciiTheme="minorBidi" w:hAnsiTheme="minorBidi"/>
                <w:sz w:val="20"/>
                <w:szCs w:val="20"/>
              </w:rPr>
            </w:pPr>
          </w:p>
        </w:tc>
      </w:tr>
      <w:tr w:rsidR="00CF2113" w:rsidRPr="006D7BFC" w:rsidTr="003C74A1">
        <w:tc>
          <w:tcPr>
            <w:tcW w:w="1530" w:type="dxa"/>
          </w:tcPr>
          <w:p w:rsidR="00CF2113" w:rsidRPr="006D7BFC" w:rsidRDefault="00CF2113" w:rsidP="004A6167">
            <w:pPr>
              <w:pStyle w:val="NoSpacing1"/>
              <w:suppressAutoHyphens/>
              <w:spacing w:line="270" w:lineRule="exact"/>
              <w:jc w:val="both"/>
              <w:rPr>
                <w:rFonts w:asciiTheme="minorBidi" w:hAnsiTheme="minorBidi"/>
                <w:sz w:val="20"/>
                <w:szCs w:val="20"/>
              </w:rPr>
            </w:pPr>
            <w:r w:rsidRPr="006D7BFC">
              <w:rPr>
                <w:rFonts w:asciiTheme="minorBidi" w:hAnsiTheme="minorBidi"/>
                <w:sz w:val="20"/>
                <w:szCs w:val="20"/>
              </w:rPr>
              <w:t>Pharma</w:t>
            </w:r>
          </w:p>
        </w:tc>
        <w:tc>
          <w:tcPr>
            <w:tcW w:w="1350" w:type="dxa"/>
            <w:shd w:val="clear" w:color="auto" w:fill="D9D9D9" w:themeFill="background1" w:themeFillShade="D9"/>
          </w:tcPr>
          <w:p w:rsidR="00CF2113" w:rsidRPr="006D7BFC" w:rsidRDefault="00CF2113" w:rsidP="004A6167">
            <w:pPr>
              <w:pStyle w:val="NoSpacing1"/>
              <w:suppressAutoHyphens/>
              <w:spacing w:line="270" w:lineRule="exact"/>
              <w:jc w:val="center"/>
              <w:rPr>
                <w:rFonts w:asciiTheme="minorBidi" w:hAnsiTheme="minorBidi"/>
                <w:sz w:val="20"/>
                <w:szCs w:val="20"/>
              </w:rPr>
            </w:pPr>
          </w:p>
        </w:tc>
        <w:tc>
          <w:tcPr>
            <w:tcW w:w="135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17%</w:t>
            </w:r>
          </w:p>
        </w:tc>
        <w:tc>
          <w:tcPr>
            <w:tcW w:w="135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17%</w:t>
            </w:r>
          </w:p>
        </w:tc>
        <w:tc>
          <w:tcPr>
            <w:tcW w:w="1350" w:type="dxa"/>
          </w:tcPr>
          <w:p w:rsidR="00CF2113" w:rsidRPr="006D7BFC" w:rsidRDefault="00CF2113" w:rsidP="004A6167">
            <w:pPr>
              <w:pStyle w:val="NoSpacing1"/>
              <w:suppressAutoHyphens/>
              <w:spacing w:line="270" w:lineRule="exact"/>
              <w:jc w:val="center"/>
              <w:rPr>
                <w:rFonts w:asciiTheme="minorBidi" w:hAnsiTheme="minorBidi"/>
                <w:sz w:val="20"/>
                <w:szCs w:val="20"/>
              </w:rPr>
            </w:pPr>
          </w:p>
        </w:tc>
        <w:tc>
          <w:tcPr>
            <w:tcW w:w="171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33%</w:t>
            </w:r>
          </w:p>
        </w:tc>
      </w:tr>
      <w:tr w:rsidR="00CF2113" w:rsidRPr="006D7BFC" w:rsidTr="003C74A1">
        <w:tc>
          <w:tcPr>
            <w:tcW w:w="1530" w:type="dxa"/>
          </w:tcPr>
          <w:p w:rsidR="00CF2113" w:rsidRPr="006D7BFC" w:rsidRDefault="00CF2113" w:rsidP="004A6167">
            <w:pPr>
              <w:pStyle w:val="NoSpacing1"/>
              <w:suppressAutoHyphens/>
              <w:spacing w:line="270" w:lineRule="exact"/>
              <w:jc w:val="both"/>
              <w:rPr>
                <w:rFonts w:asciiTheme="minorBidi" w:hAnsiTheme="minorBidi"/>
                <w:sz w:val="20"/>
                <w:szCs w:val="20"/>
              </w:rPr>
            </w:pPr>
            <w:r w:rsidRPr="006D7BFC">
              <w:rPr>
                <w:rFonts w:asciiTheme="minorBidi" w:hAnsiTheme="minorBidi"/>
                <w:sz w:val="20"/>
                <w:szCs w:val="20"/>
              </w:rPr>
              <w:t>Retail</w:t>
            </w:r>
          </w:p>
        </w:tc>
        <w:tc>
          <w:tcPr>
            <w:tcW w:w="135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7%</w:t>
            </w:r>
          </w:p>
        </w:tc>
        <w:tc>
          <w:tcPr>
            <w:tcW w:w="135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27%</w:t>
            </w:r>
          </w:p>
        </w:tc>
        <w:tc>
          <w:tcPr>
            <w:tcW w:w="135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33%</w:t>
            </w:r>
          </w:p>
        </w:tc>
        <w:tc>
          <w:tcPr>
            <w:tcW w:w="135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20%</w:t>
            </w:r>
          </w:p>
        </w:tc>
        <w:tc>
          <w:tcPr>
            <w:tcW w:w="171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7%</w:t>
            </w:r>
          </w:p>
        </w:tc>
      </w:tr>
      <w:tr w:rsidR="00CF2113" w:rsidRPr="006D7BFC" w:rsidTr="003C74A1">
        <w:trPr>
          <w:trHeight w:val="207"/>
        </w:trPr>
        <w:tc>
          <w:tcPr>
            <w:tcW w:w="1530" w:type="dxa"/>
          </w:tcPr>
          <w:p w:rsidR="00CF2113" w:rsidRPr="006D7BFC" w:rsidRDefault="00CF2113" w:rsidP="004A6167">
            <w:pPr>
              <w:pStyle w:val="NoSpacing1"/>
              <w:suppressAutoHyphens/>
              <w:spacing w:line="270" w:lineRule="exact"/>
              <w:jc w:val="both"/>
              <w:rPr>
                <w:rFonts w:asciiTheme="minorBidi" w:hAnsiTheme="minorBidi"/>
                <w:sz w:val="20"/>
                <w:szCs w:val="20"/>
              </w:rPr>
            </w:pPr>
            <w:r w:rsidRPr="006D7BFC">
              <w:rPr>
                <w:rFonts w:asciiTheme="minorBidi" w:hAnsiTheme="minorBidi"/>
                <w:sz w:val="20"/>
                <w:szCs w:val="20"/>
              </w:rPr>
              <w:t>Transportation</w:t>
            </w:r>
          </w:p>
        </w:tc>
        <w:tc>
          <w:tcPr>
            <w:tcW w:w="1350" w:type="dxa"/>
            <w:shd w:val="clear" w:color="auto" w:fill="D9D9D9" w:themeFill="background1" w:themeFillShade="D9"/>
          </w:tcPr>
          <w:p w:rsidR="00CF2113" w:rsidRPr="006D7BFC" w:rsidRDefault="00CF2113" w:rsidP="004A6167">
            <w:pPr>
              <w:pStyle w:val="NoSpacing1"/>
              <w:suppressAutoHyphens/>
              <w:spacing w:line="270" w:lineRule="exact"/>
              <w:jc w:val="center"/>
              <w:rPr>
                <w:rFonts w:asciiTheme="minorBidi" w:hAnsiTheme="minorBidi"/>
                <w:sz w:val="20"/>
                <w:szCs w:val="20"/>
              </w:rPr>
            </w:pPr>
          </w:p>
        </w:tc>
        <w:tc>
          <w:tcPr>
            <w:tcW w:w="135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50%</w:t>
            </w:r>
          </w:p>
        </w:tc>
        <w:tc>
          <w:tcPr>
            <w:tcW w:w="135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25%</w:t>
            </w:r>
          </w:p>
        </w:tc>
        <w:tc>
          <w:tcPr>
            <w:tcW w:w="1350" w:type="dxa"/>
          </w:tcPr>
          <w:p w:rsidR="00CF2113" w:rsidRPr="006D7BFC" w:rsidRDefault="00CF2113" w:rsidP="004A6167">
            <w:pPr>
              <w:pStyle w:val="NoSpacing1"/>
              <w:suppressAutoHyphens/>
              <w:spacing w:line="270" w:lineRule="exact"/>
              <w:jc w:val="center"/>
              <w:rPr>
                <w:rFonts w:asciiTheme="minorBidi" w:hAnsiTheme="minorBidi"/>
                <w:sz w:val="20"/>
                <w:szCs w:val="20"/>
              </w:rPr>
            </w:pPr>
            <w:r w:rsidRPr="006D7BFC">
              <w:rPr>
                <w:rFonts w:asciiTheme="minorBidi" w:hAnsiTheme="minorBidi"/>
                <w:sz w:val="20"/>
                <w:szCs w:val="20"/>
              </w:rPr>
              <w:t>25%</w:t>
            </w:r>
          </w:p>
        </w:tc>
        <w:tc>
          <w:tcPr>
            <w:tcW w:w="1710" w:type="dxa"/>
            <w:shd w:val="clear" w:color="auto" w:fill="D9D9D9" w:themeFill="background1" w:themeFillShade="D9"/>
          </w:tcPr>
          <w:p w:rsidR="00CF2113" w:rsidRPr="006D7BFC" w:rsidRDefault="00CF2113" w:rsidP="004A6167">
            <w:pPr>
              <w:pStyle w:val="NoSpacing1"/>
              <w:suppressAutoHyphens/>
              <w:spacing w:line="270" w:lineRule="exact"/>
              <w:jc w:val="center"/>
              <w:rPr>
                <w:rFonts w:asciiTheme="minorBidi" w:hAnsiTheme="minorBidi"/>
                <w:sz w:val="20"/>
                <w:szCs w:val="20"/>
              </w:rPr>
            </w:pPr>
          </w:p>
        </w:tc>
      </w:tr>
    </w:tbl>
    <w:p w:rsidR="00CF2113" w:rsidRPr="006D7BFC" w:rsidRDefault="00CF2113" w:rsidP="004A6167">
      <w:pPr>
        <w:pStyle w:val="NoSpacing1"/>
        <w:suppressAutoHyphens/>
        <w:spacing w:line="270" w:lineRule="exact"/>
        <w:ind w:left="720"/>
        <w:jc w:val="both"/>
        <w:rPr>
          <w:rFonts w:asciiTheme="minorBidi" w:hAnsiTheme="minorBidi"/>
          <w:sz w:val="20"/>
          <w:szCs w:val="20"/>
        </w:rPr>
      </w:pPr>
    </w:p>
    <w:p w:rsidR="00CF2113" w:rsidRDefault="00C332BC" w:rsidP="004A6167">
      <w:pPr>
        <w:pStyle w:val="NoSpacing1"/>
        <w:suppressAutoHyphens/>
        <w:spacing w:line="270" w:lineRule="exact"/>
        <w:ind w:left="720"/>
        <w:jc w:val="both"/>
        <w:rPr>
          <w:rFonts w:asciiTheme="minorBidi" w:hAnsiTheme="minorBidi"/>
          <w:sz w:val="24"/>
          <w:szCs w:val="24"/>
        </w:rPr>
      </w:pPr>
      <w:r>
        <w:rPr>
          <w:rFonts w:asciiTheme="minorBidi" w:hAnsiTheme="minorBidi"/>
          <w:sz w:val="20"/>
          <w:szCs w:val="20"/>
        </w:rPr>
        <w:t>A</w:t>
      </w:r>
      <w:r w:rsidR="00CF2113" w:rsidRPr="006D7BFC">
        <w:rPr>
          <w:rFonts w:asciiTheme="minorBidi" w:hAnsiTheme="minorBidi"/>
          <w:sz w:val="20"/>
          <w:szCs w:val="20"/>
        </w:rPr>
        <w:t>verage payment delays are shorter for domestic companies</w:t>
      </w:r>
      <w:r>
        <w:rPr>
          <w:rFonts w:asciiTheme="minorBidi" w:hAnsiTheme="minorBidi"/>
          <w:sz w:val="20"/>
          <w:szCs w:val="20"/>
        </w:rPr>
        <w:t xml:space="preserve"> than for exporters</w:t>
      </w:r>
      <w:r w:rsidR="00CF2113" w:rsidRPr="006D7BFC">
        <w:rPr>
          <w:rFonts w:asciiTheme="minorBidi" w:hAnsiTheme="minorBidi"/>
          <w:sz w:val="20"/>
          <w:szCs w:val="20"/>
        </w:rPr>
        <w:t xml:space="preserve">. </w:t>
      </w:r>
      <w:r>
        <w:rPr>
          <w:rFonts w:asciiTheme="minorBidi" w:hAnsiTheme="minorBidi"/>
          <w:sz w:val="20"/>
          <w:szCs w:val="20"/>
        </w:rPr>
        <w:t>A</w:t>
      </w:r>
      <w:r w:rsidR="00CF2113" w:rsidRPr="006D7BFC">
        <w:rPr>
          <w:rFonts w:asciiTheme="minorBidi" w:hAnsiTheme="minorBidi"/>
          <w:sz w:val="20"/>
          <w:szCs w:val="20"/>
        </w:rPr>
        <w:t>verage payment delay</w:t>
      </w:r>
      <w:r>
        <w:rPr>
          <w:rFonts w:asciiTheme="minorBidi" w:hAnsiTheme="minorBidi"/>
          <w:sz w:val="20"/>
          <w:szCs w:val="20"/>
        </w:rPr>
        <w:t>s</w:t>
      </w:r>
      <w:r w:rsidR="00CF2113" w:rsidRPr="006D7BFC">
        <w:rPr>
          <w:rFonts w:asciiTheme="minorBidi" w:hAnsiTheme="minorBidi"/>
          <w:sz w:val="20"/>
          <w:szCs w:val="20"/>
        </w:rPr>
        <w:t xml:space="preserve"> of less than 30 days </w:t>
      </w:r>
      <w:r>
        <w:rPr>
          <w:rFonts w:asciiTheme="minorBidi" w:hAnsiTheme="minorBidi"/>
          <w:sz w:val="20"/>
          <w:szCs w:val="20"/>
        </w:rPr>
        <w:t xml:space="preserve">were noted by 11% of domestic companies </w:t>
      </w:r>
      <w:r w:rsidR="00CF2113" w:rsidRPr="006D7BFC">
        <w:rPr>
          <w:rFonts w:asciiTheme="minorBidi" w:hAnsiTheme="minorBidi"/>
          <w:sz w:val="20"/>
          <w:szCs w:val="20"/>
        </w:rPr>
        <w:t>(</w:t>
      </w:r>
      <w:r>
        <w:rPr>
          <w:rFonts w:asciiTheme="minorBidi" w:hAnsiTheme="minorBidi"/>
          <w:sz w:val="20"/>
          <w:szCs w:val="20"/>
        </w:rPr>
        <w:t>compared to 9%</w:t>
      </w:r>
      <w:r w:rsidR="004E68BF">
        <w:rPr>
          <w:rFonts w:asciiTheme="minorBidi" w:hAnsiTheme="minorBidi"/>
          <w:sz w:val="20"/>
          <w:szCs w:val="20"/>
        </w:rPr>
        <w:t xml:space="preserve"> for exporters)</w:t>
      </w:r>
      <w:r w:rsidR="00546F89">
        <w:rPr>
          <w:rFonts w:asciiTheme="minorBidi" w:hAnsiTheme="minorBidi"/>
          <w:sz w:val="20"/>
          <w:szCs w:val="20"/>
        </w:rPr>
        <w:t>,</w:t>
      </w:r>
      <w:r w:rsidR="004E68BF">
        <w:rPr>
          <w:rFonts w:asciiTheme="minorBidi" w:hAnsiTheme="minorBidi"/>
          <w:sz w:val="20"/>
          <w:szCs w:val="20"/>
        </w:rPr>
        <w:t xml:space="preserve"> whil</w:t>
      </w:r>
      <w:r w:rsidR="00546F89">
        <w:rPr>
          <w:rFonts w:asciiTheme="minorBidi" w:hAnsiTheme="minorBidi"/>
          <w:sz w:val="20"/>
          <w:szCs w:val="20"/>
        </w:rPr>
        <w:t>e</w:t>
      </w:r>
      <w:r w:rsidR="00CF2113" w:rsidRPr="006D7BFC">
        <w:rPr>
          <w:rFonts w:asciiTheme="minorBidi" w:hAnsiTheme="minorBidi"/>
          <w:sz w:val="20"/>
          <w:szCs w:val="20"/>
        </w:rPr>
        <w:t xml:space="preserve"> 29</w:t>
      </w:r>
      <w:r>
        <w:rPr>
          <w:rFonts w:asciiTheme="minorBidi" w:hAnsiTheme="minorBidi"/>
          <w:sz w:val="20"/>
          <w:szCs w:val="20"/>
        </w:rPr>
        <w:t>%</w:t>
      </w:r>
      <w:r w:rsidR="00CF2113" w:rsidRPr="006D7BFC">
        <w:rPr>
          <w:rFonts w:asciiTheme="minorBidi" w:hAnsiTheme="minorBidi"/>
          <w:sz w:val="20"/>
          <w:szCs w:val="20"/>
        </w:rPr>
        <w:t xml:space="preserve"> </w:t>
      </w:r>
      <w:r>
        <w:rPr>
          <w:rFonts w:asciiTheme="minorBidi" w:hAnsiTheme="minorBidi"/>
          <w:sz w:val="20"/>
          <w:szCs w:val="20"/>
        </w:rPr>
        <w:t>reported</w:t>
      </w:r>
      <w:r w:rsidR="00CF2113" w:rsidRPr="006D7BFC">
        <w:rPr>
          <w:rFonts w:asciiTheme="minorBidi" w:hAnsiTheme="minorBidi"/>
          <w:sz w:val="20"/>
          <w:szCs w:val="20"/>
        </w:rPr>
        <w:t xml:space="preserve"> between 30 to 60 days (48</w:t>
      </w:r>
      <w:r>
        <w:rPr>
          <w:rFonts w:asciiTheme="minorBidi" w:hAnsiTheme="minorBidi"/>
          <w:sz w:val="20"/>
          <w:szCs w:val="20"/>
        </w:rPr>
        <w:t>%</w:t>
      </w:r>
      <w:r w:rsidR="00CF2113" w:rsidRPr="006D7BFC">
        <w:rPr>
          <w:rFonts w:asciiTheme="minorBidi" w:hAnsiTheme="minorBidi"/>
          <w:sz w:val="20"/>
          <w:szCs w:val="20"/>
        </w:rPr>
        <w:t xml:space="preserve"> for exporters) and 27</w:t>
      </w:r>
      <w:r>
        <w:rPr>
          <w:rFonts w:asciiTheme="minorBidi" w:hAnsiTheme="minorBidi"/>
          <w:sz w:val="20"/>
          <w:szCs w:val="20"/>
        </w:rPr>
        <w:t>%</w:t>
      </w:r>
      <w:r w:rsidR="00CF2113" w:rsidRPr="006D7BFC">
        <w:rPr>
          <w:rFonts w:asciiTheme="minorBidi" w:hAnsiTheme="minorBidi"/>
          <w:sz w:val="20"/>
          <w:szCs w:val="20"/>
        </w:rPr>
        <w:t xml:space="preserve"> between 60 to 90 days (13</w:t>
      </w:r>
      <w:r>
        <w:rPr>
          <w:rFonts w:asciiTheme="minorBidi" w:hAnsiTheme="minorBidi"/>
          <w:sz w:val="20"/>
          <w:szCs w:val="20"/>
        </w:rPr>
        <w:t>%</w:t>
      </w:r>
      <w:r w:rsidR="00CF2113" w:rsidRPr="006D7BFC">
        <w:rPr>
          <w:rFonts w:asciiTheme="minorBidi" w:hAnsiTheme="minorBidi"/>
          <w:sz w:val="20"/>
          <w:szCs w:val="20"/>
        </w:rPr>
        <w:t xml:space="preserve"> for exporters). Average payment delay</w:t>
      </w:r>
      <w:r>
        <w:rPr>
          <w:rFonts w:asciiTheme="minorBidi" w:hAnsiTheme="minorBidi"/>
          <w:sz w:val="20"/>
          <w:szCs w:val="20"/>
        </w:rPr>
        <w:t>s of over</w:t>
      </w:r>
      <w:r w:rsidR="00CF2113" w:rsidRPr="006D7BFC">
        <w:rPr>
          <w:rFonts w:asciiTheme="minorBidi" w:hAnsiTheme="minorBidi"/>
          <w:sz w:val="20"/>
          <w:szCs w:val="20"/>
        </w:rPr>
        <w:t xml:space="preserve"> </w:t>
      </w:r>
      <w:r w:rsidR="009E439F">
        <w:rPr>
          <w:rFonts w:asciiTheme="minorBidi" w:hAnsiTheme="minorBidi"/>
          <w:sz w:val="20"/>
          <w:szCs w:val="20"/>
        </w:rPr>
        <w:t>210 days w</w:t>
      </w:r>
      <w:r>
        <w:rPr>
          <w:rFonts w:asciiTheme="minorBidi" w:hAnsiTheme="minorBidi"/>
          <w:sz w:val="20"/>
          <w:szCs w:val="20"/>
        </w:rPr>
        <w:t>ere only</w:t>
      </w:r>
      <w:r w:rsidR="009E439F">
        <w:rPr>
          <w:rFonts w:asciiTheme="minorBidi" w:hAnsiTheme="minorBidi"/>
          <w:sz w:val="20"/>
          <w:szCs w:val="20"/>
        </w:rPr>
        <w:t xml:space="preserve"> </w:t>
      </w:r>
      <w:r w:rsidR="00546F89">
        <w:rPr>
          <w:rFonts w:asciiTheme="minorBidi" w:hAnsiTheme="minorBidi"/>
          <w:sz w:val="20"/>
          <w:szCs w:val="20"/>
        </w:rPr>
        <w:t>cited</w:t>
      </w:r>
      <w:r w:rsidR="009E439F">
        <w:rPr>
          <w:rFonts w:asciiTheme="minorBidi" w:hAnsiTheme="minorBidi"/>
          <w:sz w:val="20"/>
          <w:szCs w:val="20"/>
        </w:rPr>
        <w:t xml:space="preserve"> by </w:t>
      </w:r>
      <w:r>
        <w:rPr>
          <w:rFonts w:asciiTheme="minorBidi" w:hAnsiTheme="minorBidi"/>
          <w:sz w:val="20"/>
          <w:szCs w:val="20"/>
        </w:rPr>
        <w:t>4%</w:t>
      </w:r>
      <w:r w:rsidR="00CF2113" w:rsidRPr="006D7BFC">
        <w:rPr>
          <w:rFonts w:asciiTheme="minorBidi" w:hAnsiTheme="minorBidi"/>
          <w:sz w:val="20"/>
          <w:szCs w:val="20"/>
        </w:rPr>
        <w:t xml:space="preserve"> of surveyed companies (</w:t>
      </w:r>
      <w:r>
        <w:rPr>
          <w:rFonts w:asciiTheme="minorBidi" w:hAnsiTheme="minorBidi"/>
          <w:sz w:val="20"/>
          <w:szCs w:val="20"/>
        </w:rPr>
        <w:t>9%</w:t>
      </w:r>
      <w:r w:rsidR="00CF2113" w:rsidRPr="006D7BFC">
        <w:rPr>
          <w:rFonts w:asciiTheme="minorBidi" w:hAnsiTheme="minorBidi"/>
          <w:sz w:val="20"/>
          <w:szCs w:val="20"/>
        </w:rPr>
        <w:t xml:space="preserve"> for exporters).</w:t>
      </w:r>
    </w:p>
    <w:p w:rsidR="00B65960" w:rsidRDefault="00B65960" w:rsidP="004A6167">
      <w:pPr>
        <w:pStyle w:val="NoSpacing1"/>
        <w:suppressAutoHyphens/>
        <w:spacing w:line="270" w:lineRule="exact"/>
        <w:ind w:left="720"/>
        <w:jc w:val="both"/>
        <w:rPr>
          <w:rFonts w:asciiTheme="minorBidi" w:hAnsiTheme="minorBidi"/>
          <w:sz w:val="24"/>
          <w:szCs w:val="24"/>
        </w:rPr>
      </w:pPr>
    </w:p>
    <w:p w:rsidR="00386354" w:rsidRPr="00576522" w:rsidRDefault="007644B0" w:rsidP="004A6167">
      <w:pPr>
        <w:ind w:left="709"/>
        <w:rPr>
          <w:rFonts w:ascii="Arial" w:hAnsi="Arial" w:cs="Arial"/>
          <w:b/>
          <w:sz w:val="18"/>
          <w:szCs w:val="18"/>
        </w:rPr>
      </w:pPr>
      <w:r>
        <w:rPr>
          <w:rFonts w:ascii="Arial" w:eastAsia="Arial" w:hAnsi="Arial" w:cs="Arial"/>
          <w:b/>
          <w:bCs/>
          <w:sz w:val="18"/>
          <w:szCs w:val="18"/>
          <w:bdr w:val="nil"/>
          <w:lang w:val="en-GB"/>
        </w:rPr>
        <w:t>NORTH AMERICA MEDIA CONTACT</w:t>
      </w:r>
      <w:r w:rsidR="00386354">
        <w:rPr>
          <w:rFonts w:ascii="Arial" w:eastAsia="Arial" w:hAnsi="Arial" w:cs="Arial"/>
          <w:sz w:val="18"/>
          <w:szCs w:val="18"/>
          <w:bdr w:val="nil"/>
          <w:lang w:val="en-GB"/>
        </w:rPr>
        <w:t xml:space="preserve">: </w:t>
      </w:r>
    </w:p>
    <w:p w:rsidR="00386354" w:rsidRPr="00FD008C" w:rsidRDefault="007644B0" w:rsidP="004A6167">
      <w:pPr>
        <w:pStyle w:val="Footer"/>
        <w:spacing w:line="200" w:lineRule="exact"/>
        <w:ind w:left="709"/>
        <w:rPr>
          <w:rFonts w:ascii="Arial" w:hAnsi="Arial" w:cs="Arial"/>
          <w:sz w:val="18"/>
          <w:szCs w:val="18"/>
          <w:lang w:val="fr-FR"/>
        </w:rPr>
      </w:pPr>
      <w:r>
        <w:rPr>
          <w:rFonts w:ascii="Arial" w:hAnsi="Arial" w:cs="Arial"/>
          <w:sz w:val="18"/>
          <w:szCs w:val="18"/>
          <w:lang w:val="fr-FR"/>
        </w:rPr>
        <w:t>Sue Hinton</w:t>
      </w:r>
      <w:r w:rsidR="00386354" w:rsidRPr="00FD008C">
        <w:rPr>
          <w:rFonts w:ascii="Arial" w:hAnsi="Arial" w:cs="Arial"/>
          <w:sz w:val="18"/>
          <w:szCs w:val="18"/>
          <w:lang w:val="fr-FR"/>
        </w:rPr>
        <w:t xml:space="preserve"> -  T. </w:t>
      </w:r>
      <w:r>
        <w:rPr>
          <w:rFonts w:ascii="Arial" w:hAnsi="Arial" w:cs="Arial"/>
          <w:sz w:val="18"/>
          <w:szCs w:val="18"/>
          <w:lang w:val="fr-FR"/>
        </w:rPr>
        <w:t>1-212-389-6484</w:t>
      </w:r>
      <w:r w:rsidR="00386354" w:rsidRPr="00FD008C">
        <w:rPr>
          <w:rFonts w:ascii="Arial" w:hAnsi="Arial" w:cs="Arial"/>
          <w:sz w:val="18"/>
          <w:szCs w:val="18"/>
          <w:lang w:val="fr-FR"/>
        </w:rPr>
        <w:t xml:space="preserve">  </w:t>
      </w:r>
      <w:hyperlink r:id="rId9" w:history="1">
        <w:r w:rsidRPr="00384902">
          <w:rPr>
            <w:rStyle w:val="Hyperlink"/>
            <w:rFonts w:ascii="Arial" w:hAnsi="Arial" w:cs="Arial"/>
            <w:sz w:val="18"/>
            <w:szCs w:val="18"/>
            <w:lang w:val="fr-FR"/>
          </w:rPr>
          <w:t>sue.hinton@coface.com</w:t>
        </w:r>
      </w:hyperlink>
    </w:p>
    <w:p w:rsidR="00386354" w:rsidRPr="00FD008C" w:rsidRDefault="00386354" w:rsidP="004A6167">
      <w:pPr>
        <w:spacing w:line="200" w:lineRule="exact"/>
        <w:ind w:left="709"/>
        <w:rPr>
          <w:rStyle w:val="Hyperlink"/>
          <w:rFonts w:ascii="Arial" w:hAnsi="Arial" w:cs="Arial"/>
          <w:sz w:val="18"/>
          <w:szCs w:val="18"/>
          <w:lang w:val="fr-FR"/>
        </w:rPr>
      </w:pPr>
    </w:p>
    <w:p w:rsidR="00386354" w:rsidRPr="00386354" w:rsidRDefault="00386354" w:rsidP="00386354">
      <w:pPr>
        <w:spacing w:line="200" w:lineRule="exact"/>
        <w:rPr>
          <w:rFonts w:ascii="Arial" w:eastAsia="MS Mincho" w:hAnsi="Arial" w:cs="Arial"/>
          <w:bCs/>
          <w:color w:val="000000"/>
          <w:sz w:val="20"/>
          <w:szCs w:val="20"/>
          <w:lang w:val="fr-FR" w:eastAsia="fr-FR"/>
        </w:rPr>
      </w:pPr>
    </w:p>
    <w:tbl>
      <w:tblPr>
        <w:tblpPr w:leftFromText="141" w:rightFromText="141" w:bottomFromText="200" w:vertAnchor="text" w:horzAnchor="margin" w:tblpX="709" w:tblpY="58"/>
        <w:tblW w:w="8647" w:type="dxa"/>
        <w:tblLayout w:type="fixed"/>
        <w:tblCellMar>
          <w:left w:w="0" w:type="dxa"/>
          <w:right w:w="0" w:type="dxa"/>
        </w:tblCellMar>
        <w:tblLook w:val="00A0" w:firstRow="1" w:lastRow="0" w:firstColumn="1" w:lastColumn="0" w:noHBand="0" w:noVBand="0"/>
      </w:tblPr>
      <w:tblGrid>
        <w:gridCol w:w="8647"/>
      </w:tblGrid>
      <w:tr w:rsidR="00386354" w:rsidRPr="00386354" w:rsidTr="004A6167">
        <w:trPr>
          <w:trHeight w:val="220"/>
        </w:trPr>
        <w:tc>
          <w:tcPr>
            <w:tcW w:w="8647" w:type="dxa"/>
            <w:shd w:val="clear" w:color="auto" w:fill="E9EDF4"/>
          </w:tcPr>
          <w:p w:rsidR="00386354" w:rsidRPr="00386354" w:rsidRDefault="00386354" w:rsidP="004A6167">
            <w:pPr>
              <w:spacing w:line="200" w:lineRule="exact"/>
              <w:jc w:val="both"/>
              <w:rPr>
                <w:rFonts w:ascii="Arial" w:eastAsia="MS Mincho" w:hAnsi="Arial" w:cs="Arial"/>
                <w:sz w:val="16"/>
                <w:szCs w:val="18"/>
                <w:lang w:eastAsia="fr-FR"/>
              </w:rPr>
            </w:pPr>
            <w:r w:rsidRPr="00386354">
              <w:rPr>
                <w:rFonts w:ascii="Arial" w:eastAsia="MS Mincho" w:hAnsi="Arial" w:cs="Arial"/>
                <w:b/>
                <w:sz w:val="16"/>
                <w:szCs w:val="18"/>
                <w:lang w:eastAsia="fr-FR"/>
              </w:rPr>
              <w:t>About Coface</w:t>
            </w:r>
          </w:p>
          <w:p w:rsidR="00386354" w:rsidRPr="00386354" w:rsidRDefault="00386354" w:rsidP="004A6167">
            <w:pPr>
              <w:spacing w:line="200" w:lineRule="exact"/>
              <w:ind w:left="709"/>
              <w:jc w:val="both"/>
              <w:rPr>
                <w:rFonts w:ascii="Arial" w:eastAsia="MS Mincho" w:hAnsi="Arial" w:cs="Arial"/>
                <w:sz w:val="16"/>
                <w:szCs w:val="18"/>
                <w:lang w:eastAsia="fr-FR"/>
              </w:rPr>
            </w:pPr>
          </w:p>
          <w:p w:rsidR="00386354" w:rsidRPr="00386354" w:rsidRDefault="00386354" w:rsidP="004A6167">
            <w:pPr>
              <w:spacing w:before="60" w:after="60" w:line="240" w:lineRule="atLeast"/>
              <w:ind w:right="113"/>
              <w:rPr>
                <w:rFonts w:ascii="Arial" w:eastAsia="MS Mincho" w:hAnsi="Arial" w:cs="Arial"/>
                <w:sz w:val="16"/>
                <w:szCs w:val="18"/>
                <w:lang w:eastAsia="fr-FR"/>
              </w:rPr>
            </w:pPr>
            <w:r w:rsidRPr="00386354">
              <w:rPr>
                <w:rFonts w:ascii="Arial" w:eastAsia="MS Mincho" w:hAnsi="Arial" w:cs="Arial"/>
                <w:sz w:val="16"/>
                <w:szCs w:val="18"/>
                <w:lang w:eastAsia="fr-FR"/>
              </w:rPr>
              <w:t>Coface, a world-leading credit insurer, offers 50,000 companies around the globe solutions to protect against the risk of financial default of their clients, both on their domestic and export markets. The Group, which aims to be the most agile global credit insurer in the industry, is present in 100 countries, employs 4,300 people, and posted consolidated turnover of €1.411 billion in 2016.  Coface publishes quarterly country and sector risk assessments based on its unique knowledge of compan</w:t>
            </w:r>
            <w:r w:rsidR="007644B0">
              <w:rPr>
                <w:rFonts w:ascii="Arial" w:eastAsia="MS Mincho" w:hAnsi="Arial" w:cs="Arial"/>
                <w:sz w:val="16"/>
                <w:szCs w:val="18"/>
                <w:lang w:eastAsia="fr-FR"/>
              </w:rPr>
              <w:t>y</w:t>
            </w:r>
            <w:bookmarkStart w:id="0" w:name="_GoBack"/>
            <w:bookmarkEnd w:id="0"/>
            <w:r w:rsidRPr="00386354">
              <w:rPr>
                <w:rFonts w:ascii="Arial" w:eastAsia="MS Mincho" w:hAnsi="Arial" w:cs="Arial"/>
                <w:sz w:val="16"/>
                <w:szCs w:val="18"/>
                <w:lang w:eastAsia="fr-FR"/>
              </w:rPr>
              <w:t xml:space="preserve"> payment behavior and on the expertise of its 660 underwriters and credit analysts located close to clients and their debtors.</w:t>
            </w:r>
          </w:p>
          <w:p w:rsidR="00386354" w:rsidRPr="00386354" w:rsidRDefault="00386354" w:rsidP="004A6167">
            <w:pPr>
              <w:spacing w:before="60" w:after="60" w:line="240" w:lineRule="atLeast"/>
              <w:ind w:left="709" w:right="113"/>
              <w:rPr>
                <w:rFonts w:ascii="Arial" w:eastAsia="MS Mincho" w:hAnsi="Arial" w:cs="Arial"/>
                <w:sz w:val="16"/>
                <w:szCs w:val="18"/>
                <w:lang w:eastAsia="fr-FR"/>
              </w:rPr>
            </w:pPr>
          </w:p>
          <w:p w:rsidR="00386354" w:rsidRPr="004A6167" w:rsidRDefault="00386354" w:rsidP="004A6167">
            <w:pPr>
              <w:spacing w:before="60" w:after="60" w:line="240" w:lineRule="atLeast"/>
              <w:ind w:left="709" w:right="113"/>
              <w:jc w:val="center"/>
              <w:rPr>
                <w:rFonts w:ascii="Arial" w:eastAsia="MS Mincho" w:hAnsi="Arial" w:cs="Arial"/>
                <w:color w:val="0000FF"/>
                <w:sz w:val="18"/>
                <w:szCs w:val="18"/>
                <w:u w:val="single"/>
                <w:lang w:eastAsia="fr-FR"/>
              </w:rPr>
            </w:pPr>
            <w:r w:rsidRPr="00386354">
              <w:rPr>
                <w:rFonts w:ascii="Cambria" w:eastAsia="MS Mincho" w:hAnsi="Cambria"/>
                <w:noProof/>
              </w:rPr>
              <w:drawing>
                <wp:anchor distT="0" distB="0" distL="114300" distR="114300" simplePos="0" relativeHeight="251661312" behindDoc="0" locked="0" layoutInCell="1" allowOverlap="1" wp14:anchorId="539B3D72" wp14:editId="059112F0">
                  <wp:simplePos x="0" y="0"/>
                  <wp:positionH relativeFrom="column">
                    <wp:posOffset>4666534</wp:posOffset>
                  </wp:positionH>
                  <wp:positionV relativeFrom="paragraph">
                    <wp:posOffset>34925</wp:posOffset>
                  </wp:positionV>
                  <wp:extent cx="571500" cy="565785"/>
                  <wp:effectExtent l="0" t="0" r="0" b="5715"/>
                  <wp:wrapNone/>
                  <wp:docPr id="5" name="Image 5"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OFA-listed-emblems_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565785"/>
                          </a:xfrm>
                          <a:prstGeom prst="rect">
                            <a:avLst/>
                          </a:prstGeom>
                          <a:noFill/>
                        </pic:spPr>
                      </pic:pic>
                    </a:graphicData>
                  </a:graphic>
                  <wp14:sizeRelH relativeFrom="page">
                    <wp14:pctWidth>0</wp14:pctWidth>
                  </wp14:sizeRelH>
                  <wp14:sizeRelV relativeFrom="page">
                    <wp14:pctHeight>0</wp14:pctHeight>
                  </wp14:sizeRelV>
                </wp:anchor>
              </w:drawing>
            </w:r>
            <w:hyperlink r:id="rId11" w:history="1">
              <w:r w:rsidRPr="00386354">
                <w:rPr>
                  <w:rFonts w:ascii="Arial" w:eastAsia="MS Mincho" w:hAnsi="Arial" w:cs="Arial"/>
                  <w:color w:val="0000FF"/>
                  <w:sz w:val="18"/>
                  <w:szCs w:val="18"/>
                  <w:u w:val="single"/>
                  <w:lang w:eastAsia="fr-FR"/>
                </w:rPr>
                <w:t>www.coface.com</w:t>
              </w:r>
            </w:hyperlink>
          </w:p>
          <w:p w:rsidR="00386354" w:rsidRPr="00386354" w:rsidRDefault="00386354" w:rsidP="004A6167">
            <w:pPr>
              <w:tabs>
                <w:tab w:val="left" w:pos="8202"/>
              </w:tabs>
              <w:autoSpaceDE w:val="0"/>
              <w:autoSpaceDN w:val="0"/>
              <w:adjustRightInd w:val="0"/>
              <w:spacing w:line="240" w:lineRule="atLeast"/>
              <w:ind w:left="709" w:right="1587"/>
              <w:jc w:val="right"/>
              <w:rPr>
                <w:rFonts w:ascii="Arial" w:eastAsia="MS Mincho" w:hAnsi="Arial" w:cs="Arial"/>
                <w:sz w:val="16"/>
                <w:szCs w:val="18"/>
                <w:lang w:eastAsia="fr-FR"/>
              </w:rPr>
            </w:pPr>
            <w:r w:rsidRPr="00386354">
              <w:rPr>
                <w:rFonts w:ascii="Arial" w:eastAsia="MS Mincho" w:hAnsi="Arial" w:cs="Arial"/>
                <w:sz w:val="16"/>
                <w:szCs w:val="18"/>
                <w:lang w:eastAsia="fr-FR"/>
              </w:rPr>
              <w:t>Coface SA. is listed on Euronext Paris – Compartment B</w:t>
            </w:r>
          </w:p>
          <w:p w:rsidR="00386354" w:rsidRPr="00386354" w:rsidRDefault="00386354" w:rsidP="004A6167">
            <w:pPr>
              <w:tabs>
                <w:tab w:val="left" w:pos="8202"/>
              </w:tabs>
              <w:autoSpaceDE w:val="0"/>
              <w:autoSpaceDN w:val="0"/>
              <w:adjustRightInd w:val="0"/>
              <w:spacing w:line="240" w:lineRule="atLeast"/>
              <w:ind w:left="709" w:right="1587"/>
              <w:jc w:val="right"/>
              <w:rPr>
                <w:rFonts w:ascii="Arial" w:eastAsia="MS Mincho" w:hAnsi="Arial" w:cs="Arial"/>
                <w:sz w:val="16"/>
                <w:szCs w:val="18"/>
                <w:lang w:val="fr-FR" w:eastAsia="fr-FR"/>
              </w:rPr>
            </w:pPr>
            <w:r w:rsidRPr="00386354">
              <w:rPr>
                <w:rFonts w:ascii="Arial" w:eastAsia="MS Mincho" w:hAnsi="Arial" w:cs="Arial"/>
                <w:sz w:val="16"/>
                <w:szCs w:val="18"/>
                <w:lang w:val="fr-FR" w:eastAsia="fr-FR"/>
              </w:rPr>
              <w:t xml:space="preserve">ISIN: FR0010667147 / </w:t>
            </w:r>
            <w:proofErr w:type="spellStart"/>
            <w:r w:rsidRPr="00386354">
              <w:rPr>
                <w:rFonts w:ascii="Arial" w:eastAsia="MS Mincho" w:hAnsi="Arial" w:cs="Arial"/>
                <w:sz w:val="16"/>
                <w:szCs w:val="18"/>
                <w:lang w:val="fr-FR" w:eastAsia="fr-FR"/>
              </w:rPr>
              <w:t>Ticker</w:t>
            </w:r>
            <w:proofErr w:type="spellEnd"/>
            <w:r w:rsidRPr="00386354">
              <w:rPr>
                <w:rFonts w:ascii="Arial" w:eastAsia="MS Mincho" w:hAnsi="Arial" w:cs="Arial"/>
                <w:sz w:val="16"/>
                <w:szCs w:val="18"/>
                <w:lang w:val="fr-FR" w:eastAsia="fr-FR"/>
              </w:rPr>
              <w:t>: COFA</w:t>
            </w:r>
          </w:p>
          <w:p w:rsidR="00386354" w:rsidRPr="00386354" w:rsidRDefault="00386354" w:rsidP="004A6167">
            <w:pPr>
              <w:spacing w:before="60" w:after="60" w:line="276" w:lineRule="auto"/>
              <w:ind w:left="709" w:right="113"/>
              <w:jc w:val="center"/>
              <w:rPr>
                <w:rFonts w:ascii="Arial" w:eastAsia="MS Mincho" w:hAnsi="Arial" w:cs="Arial"/>
                <w:sz w:val="16"/>
                <w:szCs w:val="18"/>
                <w:u w:val="single"/>
                <w:lang w:eastAsia="fr-FR"/>
              </w:rPr>
            </w:pPr>
          </w:p>
        </w:tc>
      </w:tr>
    </w:tbl>
    <w:p w:rsidR="00386354" w:rsidRDefault="00386354" w:rsidP="004A6167">
      <w:pPr>
        <w:spacing w:line="200" w:lineRule="exact"/>
        <w:ind w:left="709"/>
        <w:rPr>
          <w:rStyle w:val="Hyperlink"/>
          <w:rFonts w:ascii="Arial" w:hAnsi="Arial" w:cs="Arial"/>
          <w:sz w:val="18"/>
          <w:szCs w:val="18"/>
        </w:rPr>
      </w:pPr>
    </w:p>
    <w:p w:rsidR="00322982" w:rsidRDefault="007644B0" w:rsidP="004A6167">
      <w:pPr>
        <w:ind w:left="709" w:firstLine="720"/>
      </w:pPr>
    </w:p>
    <w:sectPr w:rsidR="00322982" w:rsidSect="008E2BFF">
      <w:headerReference w:type="default" r:id="rId12"/>
      <w:pgSz w:w="12240" w:h="15840"/>
      <w:pgMar w:top="29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75B" w:rsidRDefault="00C0175B">
      <w:r>
        <w:separator/>
      </w:r>
    </w:p>
  </w:endnote>
  <w:endnote w:type="continuationSeparator" w:id="0">
    <w:p w:rsidR="00C0175B" w:rsidRDefault="00C0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75B" w:rsidRDefault="00C0175B">
      <w:r>
        <w:separator/>
      </w:r>
    </w:p>
  </w:footnote>
  <w:footnote w:type="continuationSeparator" w:id="0">
    <w:p w:rsidR="00C0175B" w:rsidRDefault="00C01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61" w:rsidRDefault="00933421">
    <w:pPr>
      <w:pStyle w:val="Header"/>
    </w:pPr>
    <w:r>
      <w:rPr>
        <w:noProof/>
      </w:rPr>
      <mc:AlternateContent>
        <mc:Choice Requires="wps">
          <w:drawing>
            <wp:anchor distT="0" distB="0" distL="114935" distR="114935" simplePos="0" relativeHeight="251658240" behindDoc="1" locked="0" layoutInCell="1" allowOverlap="1">
              <wp:simplePos x="0" y="0"/>
              <wp:positionH relativeFrom="column">
                <wp:posOffset>414020</wp:posOffset>
              </wp:positionH>
              <wp:positionV relativeFrom="page">
                <wp:posOffset>1227658</wp:posOffset>
              </wp:positionV>
              <wp:extent cx="5755005" cy="3302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330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561" w:rsidRPr="00EA4A78" w:rsidRDefault="007235A9" w:rsidP="008E2BFF">
                          <w:pPr>
                            <w:spacing w:line="270" w:lineRule="exact"/>
                            <w:jc w:val="center"/>
                            <w:rPr>
                              <w:rFonts w:ascii="Arial" w:hAnsi="Arial" w:cs="Arial"/>
                              <w:b/>
                              <w:bCs/>
                              <w:color w:val="4FA76E"/>
                              <w:spacing w:val="518"/>
                              <w:sz w:val="26"/>
                              <w:szCs w:val="26"/>
                            </w:rPr>
                          </w:pPr>
                          <w:r w:rsidRPr="00EA4A78">
                            <w:rPr>
                              <w:rFonts w:ascii="Arial" w:hAnsi="Arial" w:cs="Arial"/>
                              <w:b/>
                              <w:bCs/>
                              <w:color w:val="4FA76E"/>
                              <w:spacing w:val="518"/>
                              <w:sz w:val="26"/>
                              <w:szCs w:val="26"/>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6pt;margin-top:96.65pt;width:453.15pt;height:26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" stroked="f">
              <v:fill opacity="0"/>
              <v:textbox inset="0,0,0,0">
                <w:txbxContent>
                  <w:p w:rsidR="00203561" w:rsidRPr="00EA4A78" w:rsidRDefault="007235A9" w:rsidP="008E2BFF">
                    <w:pPr>
                      <w:spacing w:line="270" w:lineRule="exact"/>
                      <w:jc w:val="center"/>
                      <w:rPr>
                        <w:rFonts w:ascii="Arial" w:hAnsi="Arial" w:cs="Arial"/>
                        <w:b/>
                        <w:bCs/>
                        <w:color w:val="4FA76E"/>
                        <w:spacing w:val="518"/>
                        <w:sz w:val="26"/>
                        <w:szCs w:val="26"/>
                      </w:rPr>
                    </w:pPr>
                    <w:r w:rsidRPr="00EA4A78">
                      <w:rPr>
                        <w:rFonts w:ascii="Arial" w:hAnsi="Arial" w:cs="Arial"/>
                        <w:b/>
                        <w:bCs/>
                        <w:color w:val="4FA76E"/>
                        <w:spacing w:val="518"/>
                        <w:sz w:val="26"/>
                        <w:szCs w:val="26"/>
                      </w:rPr>
                      <w:t>PRESS RELEASE</w:t>
                    </w:r>
                  </w:p>
                </w:txbxContent>
              </v:textbox>
              <w10:wrap anchory="page"/>
            </v:shape>
          </w:pict>
        </mc:Fallback>
      </mc:AlternateContent>
    </w:r>
    <w:r w:rsidR="00FB0747" w:rsidRPr="008E2BFF">
      <w:rPr>
        <w:noProof/>
      </w:rPr>
      <w:drawing>
        <wp:anchor distT="0" distB="0" distL="114935" distR="114935" simplePos="0" relativeHeight="251657216" behindDoc="1" locked="0" layoutInCell="1" allowOverlap="1">
          <wp:simplePos x="0" y="0"/>
          <wp:positionH relativeFrom="column">
            <wp:posOffset>33804</wp:posOffset>
          </wp:positionH>
          <wp:positionV relativeFrom="page">
            <wp:posOffset>279400</wp:posOffset>
          </wp:positionV>
          <wp:extent cx="5763260" cy="1315720"/>
          <wp:effectExtent l="0" t="0" r="889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1315720"/>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B28F1"/>
    <w:multiLevelType w:val="hybridMultilevel"/>
    <w:tmpl w:val="8362A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525FA9"/>
    <w:multiLevelType w:val="hybridMultilevel"/>
    <w:tmpl w:val="D4485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5A9"/>
    <w:rsid w:val="00024C72"/>
    <w:rsid w:val="00054CD6"/>
    <w:rsid w:val="00107E5F"/>
    <w:rsid w:val="00111A5D"/>
    <w:rsid w:val="00123DB7"/>
    <w:rsid w:val="00142774"/>
    <w:rsid w:val="001E6252"/>
    <w:rsid w:val="001F4360"/>
    <w:rsid w:val="00211982"/>
    <w:rsid w:val="00262D9E"/>
    <w:rsid w:val="00271293"/>
    <w:rsid w:val="002732BB"/>
    <w:rsid w:val="0028190F"/>
    <w:rsid w:val="002B5AD4"/>
    <w:rsid w:val="002C77EC"/>
    <w:rsid w:val="00311996"/>
    <w:rsid w:val="0032721B"/>
    <w:rsid w:val="003662AC"/>
    <w:rsid w:val="00386354"/>
    <w:rsid w:val="003A792C"/>
    <w:rsid w:val="003B0A8B"/>
    <w:rsid w:val="003B7CDE"/>
    <w:rsid w:val="003C1B2D"/>
    <w:rsid w:val="003C74A1"/>
    <w:rsid w:val="003E7F5C"/>
    <w:rsid w:val="00406386"/>
    <w:rsid w:val="00442196"/>
    <w:rsid w:val="00454CA3"/>
    <w:rsid w:val="0045572F"/>
    <w:rsid w:val="00462A58"/>
    <w:rsid w:val="00490B99"/>
    <w:rsid w:val="004917BA"/>
    <w:rsid w:val="004A6167"/>
    <w:rsid w:val="004D7774"/>
    <w:rsid w:val="004E68BF"/>
    <w:rsid w:val="005118CD"/>
    <w:rsid w:val="00537F7A"/>
    <w:rsid w:val="00546F89"/>
    <w:rsid w:val="00554358"/>
    <w:rsid w:val="00572873"/>
    <w:rsid w:val="005B3815"/>
    <w:rsid w:val="005B42DB"/>
    <w:rsid w:val="0060367D"/>
    <w:rsid w:val="00606784"/>
    <w:rsid w:val="00615EBE"/>
    <w:rsid w:val="00632307"/>
    <w:rsid w:val="006878E2"/>
    <w:rsid w:val="006B29B2"/>
    <w:rsid w:val="006C1E30"/>
    <w:rsid w:val="006C4CDA"/>
    <w:rsid w:val="006D620E"/>
    <w:rsid w:val="006D6F54"/>
    <w:rsid w:val="006D7BFC"/>
    <w:rsid w:val="00704327"/>
    <w:rsid w:val="007235A9"/>
    <w:rsid w:val="00733BCA"/>
    <w:rsid w:val="007644B0"/>
    <w:rsid w:val="00780F22"/>
    <w:rsid w:val="00787A83"/>
    <w:rsid w:val="007B00B8"/>
    <w:rsid w:val="007B63FB"/>
    <w:rsid w:val="0081658D"/>
    <w:rsid w:val="00822ED9"/>
    <w:rsid w:val="00845802"/>
    <w:rsid w:val="008D4C75"/>
    <w:rsid w:val="008D7D78"/>
    <w:rsid w:val="00906330"/>
    <w:rsid w:val="00910DD7"/>
    <w:rsid w:val="00920699"/>
    <w:rsid w:val="00933421"/>
    <w:rsid w:val="009451AE"/>
    <w:rsid w:val="0098131F"/>
    <w:rsid w:val="00987201"/>
    <w:rsid w:val="009A1C91"/>
    <w:rsid w:val="009C14C3"/>
    <w:rsid w:val="009E1582"/>
    <w:rsid w:val="009E439F"/>
    <w:rsid w:val="009F3F26"/>
    <w:rsid w:val="00A207B0"/>
    <w:rsid w:val="00A2134B"/>
    <w:rsid w:val="00A518FE"/>
    <w:rsid w:val="00A573F6"/>
    <w:rsid w:val="00A618CE"/>
    <w:rsid w:val="00A92BDF"/>
    <w:rsid w:val="00AB2C86"/>
    <w:rsid w:val="00AD3A0B"/>
    <w:rsid w:val="00B1698E"/>
    <w:rsid w:val="00B21359"/>
    <w:rsid w:val="00B61CA4"/>
    <w:rsid w:val="00B65960"/>
    <w:rsid w:val="00B65DE9"/>
    <w:rsid w:val="00BA1B59"/>
    <w:rsid w:val="00BD1EC8"/>
    <w:rsid w:val="00BD61E3"/>
    <w:rsid w:val="00C0175B"/>
    <w:rsid w:val="00C11F6D"/>
    <w:rsid w:val="00C24DA7"/>
    <w:rsid w:val="00C332BC"/>
    <w:rsid w:val="00C80EA0"/>
    <w:rsid w:val="00CC1D14"/>
    <w:rsid w:val="00CF2113"/>
    <w:rsid w:val="00CF267B"/>
    <w:rsid w:val="00CF52A2"/>
    <w:rsid w:val="00D34E65"/>
    <w:rsid w:val="00DE625C"/>
    <w:rsid w:val="00E22186"/>
    <w:rsid w:val="00E33CC8"/>
    <w:rsid w:val="00E3760B"/>
    <w:rsid w:val="00E907BE"/>
    <w:rsid w:val="00EB18D8"/>
    <w:rsid w:val="00EF66FB"/>
    <w:rsid w:val="00F16335"/>
    <w:rsid w:val="00F246B7"/>
    <w:rsid w:val="00F43BD5"/>
    <w:rsid w:val="00F85FEE"/>
    <w:rsid w:val="00FA57EB"/>
    <w:rsid w:val="00FB0747"/>
    <w:rsid w:val="00FC52C5"/>
    <w:rsid w:val="00FC6CA6"/>
    <w:rsid w:val="00FD008C"/>
    <w:rsid w:val="00FD42CA"/>
    <w:rsid w:val="00FD5FB9"/>
    <w:rsid w:val="00FF57FF"/>
    <w:rsid w:val="00FF7B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5A9"/>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5A9"/>
    <w:pPr>
      <w:tabs>
        <w:tab w:val="center" w:pos="4680"/>
        <w:tab w:val="right" w:pos="9360"/>
      </w:tabs>
    </w:pPr>
  </w:style>
  <w:style w:type="character" w:customStyle="1" w:styleId="HeaderChar">
    <w:name w:val="Header Char"/>
    <w:basedOn w:val="DefaultParagraphFont"/>
    <w:link w:val="Header"/>
    <w:uiPriority w:val="99"/>
    <w:rsid w:val="007235A9"/>
    <w:rPr>
      <w:rFonts w:ascii="Times New Roman" w:hAnsi="Times New Roman" w:cs="Times New Roman"/>
      <w:sz w:val="24"/>
      <w:szCs w:val="24"/>
      <w:lang w:val="en-US"/>
    </w:rPr>
  </w:style>
  <w:style w:type="paragraph" w:styleId="ListParagraph">
    <w:name w:val="List Paragraph"/>
    <w:basedOn w:val="Normal"/>
    <w:uiPriority w:val="34"/>
    <w:qFormat/>
    <w:rsid w:val="007235A9"/>
    <w:pPr>
      <w:ind w:left="720" w:firstLine="720"/>
      <w:contextualSpacing/>
    </w:pPr>
    <w:rPr>
      <w:lang w:val="en-IN"/>
    </w:rPr>
  </w:style>
  <w:style w:type="character" w:styleId="Hyperlink">
    <w:name w:val="Hyperlink"/>
    <w:basedOn w:val="DefaultParagraphFont"/>
    <w:uiPriority w:val="99"/>
    <w:unhideWhenUsed/>
    <w:rsid w:val="007235A9"/>
    <w:rPr>
      <w:color w:val="0000FF"/>
      <w:u w:val="single"/>
    </w:rPr>
  </w:style>
  <w:style w:type="paragraph" w:styleId="Revision">
    <w:name w:val="Revision"/>
    <w:hidden/>
    <w:uiPriority w:val="99"/>
    <w:semiHidden/>
    <w:rsid w:val="007235A9"/>
    <w:pPr>
      <w:spacing w:after="0" w:line="240" w:lineRule="auto"/>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7235A9"/>
    <w:rPr>
      <w:rFonts w:ascii="Tahoma" w:hAnsi="Tahoma" w:cs="Tahoma"/>
      <w:sz w:val="16"/>
      <w:szCs w:val="16"/>
    </w:rPr>
  </w:style>
  <w:style w:type="character" w:customStyle="1" w:styleId="BalloonTextChar">
    <w:name w:val="Balloon Text Char"/>
    <w:basedOn w:val="DefaultParagraphFont"/>
    <w:link w:val="BalloonText"/>
    <w:uiPriority w:val="99"/>
    <w:semiHidden/>
    <w:rsid w:val="007235A9"/>
    <w:rPr>
      <w:rFonts w:ascii="Tahoma" w:hAnsi="Tahoma" w:cs="Tahoma"/>
      <w:sz w:val="16"/>
      <w:szCs w:val="16"/>
      <w:lang w:val="en-US"/>
    </w:rPr>
  </w:style>
  <w:style w:type="paragraph" w:customStyle="1" w:styleId="NoSpacing1">
    <w:name w:val="No Spacing1"/>
    <w:uiPriority w:val="1"/>
    <w:qFormat/>
    <w:rsid w:val="00CF2113"/>
    <w:pPr>
      <w:spacing w:after="0" w:line="240" w:lineRule="auto"/>
    </w:pPr>
    <w:rPr>
      <w:lang w:val="en-US"/>
    </w:rPr>
  </w:style>
  <w:style w:type="table" w:styleId="TableGrid">
    <w:name w:val="Table Grid"/>
    <w:basedOn w:val="TableNormal"/>
    <w:uiPriority w:val="39"/>
    <w:qFormat/>
    <w:rsid w:val="00CF2113"/>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qFormat/>
    <w:rsid w:val="00CF2113"/>
    <w:pPr>
      <w:spacing w:after="0" w:line="240" w:lineRule="auto"/>
    </w:pPr>
    <w:rPr>
      <w:rFonts w:ascii="Cambria" w:eastAsia="Cambria" w:hAnsi="Cambria" w:cs="Cambria"/>
      <w:color w:val="000000"/>
      <w:sz w:val="24"/>
      <w:szCs w:val="24"/>
      <w:u w:color="000000"/>
      <w:lang w:eastAsia="en-GB"/>
    </w:rPr>
  </w:style>
  <w:style w:type="paragraph" w:styleId="Footer">
    <w:name w:val="footer"/>
    <w:basedOn w:val="Normal"/>
    <w:link w:val="FooterChar"/>
    <w:uiPriority w:val="99"/>
    <w:unhideWhenUsed/>
    <w:rsid w:val="003C74A1"/>
    <w:pPr>
      <w:tabs>
        <w:tab w:val="center" w:pos="4680"/>
        <w:tab w:val="right" w:pos="9360"/>
      </w:tabs>
    </w:pPr>
  </w:style>
  <w:style w:type="character" w:customStyle="1" w:styleId="FooterChar">
    <w:name w:val="Footer Char"/>
    <w:basedOn w:val="DefaultParagraphFont"/>
    <w:link w:val="Footer"/>
    <w:uiPriority w:val="99"/>
    <w:rsid w:val="003C74A1"/>
    <w:rPr>
      <w:rFonts w:ascii="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06330"/>
    <w:rPr>
      <w:sz w:val="16"/>
      <w:szCs w:val="16"/>
    </w:rPr>
  </w:style>
  <w:style w:type="paragraph" w:styleId="CommentText">
    <w:name w:val="annotation text"/>
    <w:basedOn w:val="Normal"/>
    <w:link w:val="CommentTextChar"/>
    <w:uiPriority w:val="99"/>
    <w:semiHidden/>
    <w:unhideWhenUsed/>
    <w:rsid w:val="00906330"/>
    <w:rPr>
      <w:sz w:val="20"/>
      <w:szCs w:val="20"/>
    </w:rPr>
  </w:style>
  <w:style w:type="character" w:customStyle="1" w:styleId="CommentTextChar">
    <w:name w:val="Comment Text Char"/>
    <w:basedOn w:val="DefaultParagraphFont"/>
    <w:link w:val="CommentText"/>
    <w:uiPriority w:val="99"/>
    <w:semiHidden/>
    <w:rsid w:val="00906330"/>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06330"/>
    <w:rPr>
      <w:b/>
      <w:bCs/>
    </w:rPr>
  </w:style>
  <w:style w:type="character" w:customStyle="1" w:styleId="CommentSubjectChar">
    <w:name w:val="Comment Subject Char"/>
    <w:basedOn w:val="CommentTextChar"/>
    <w:link w:val="CommentSubject"/>
    <w:uiPriority w:val="99"/>
    <w:semiHidden/>
    <w:rsid w:val="00906330"/>
    <w:rPr>
      <w:rFonts w:ascii="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5A9"/>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5A9"/>
    <w:pPr>
      <w:tabs>
        <w:tab w:val="center" w:pos="4680"/>
        <w:tab w:val="right" w:pos="9360"/>
      </w:tabs>
    </w:pPr>
  </w:style>
  <w:style w:type="character" w:customStyle="1" w:styleId="HeaderChar">
    <w:name w:val="Header Char"/>
    <w:basedOn w:val="DefaultParagraphFont"/>
    <w:link w:val="Header"/>
    <w:uiPriority w:val="99"/>
    <w:rsid w:val="007235A9"/>
    <w:rPr>
      <w:rFonts w:ascii="Times New Roman" w:hAnsi="Times New Roman" w:cs="Times New Roman"/>
      <w:sz w:val="24"/>
      <w:szCs w:val="24"/>
      <w:lang w:val="en-US"/>
    </w:rPr>
  </w:style>
  <w:style w:type="paragraph" w:styleId="ListParagraph">
    <w:name w:val="List Paragraph"/>
    <w:basedOn w:val="Normal"/>
    <w:uiPriority w:val="34"/>
    <w:qFormat/>
    <w:rsid w:val="007235A9"/>
    <w:pPr>
      <w:ind w:left="720" w:firstLine="720"/>
      <w:contextualSpacing/>
    </w:pPr>
    <w:rPr>
      <w:lang w:val="en-IN"/>
    </w:rPr>
  </w:style>
  <w:style w:type="character" w:styleId="Hyperlink">
    <w:name w:val="Hyperlink"/>
    <w:basedOn w:val="DefaultParagraphFont"/>
    <w:uiPriority w:val="99"/>
    <w:unhideWhenUsed/>
    <w:rsid w:val="007235A9"/>
    <w:rPr>
      <w:color w:val="0000FF"/>
      <w:u w:val="single"/>
    </w:rPr>
  </w:style>
  <w:style w:type="paragraph" w:styleId="Revision">
    <w:name w:val="Revision"/>
    <w:hidden/>
    <w:uiPriority w:val="99"/>
    <w:semiHidden/>
    <w:rsid w:val="007235A9"/>
    <w:pPr>
      <w:spacing w:after="0" w:line="240" w:lineRule="auto"/>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7235A9"/>
    <w:rPr>
      <w:rFonts w:ascii="Tahoma" w:hAnsi="Tahoma" w:cs="Tahoma"/>
      <w:sz w:val="16"/>
      <w:szCs w:val="16"/>
    </w:rPr>
  </w:style>
  <w:style w:type="character" w:customStyle="1" w:styleId="BalloonTextChar">
    <w:name w:val="Balloon Text Char"/>
    <w:basedOn w:val="DefaultParagraphFont"/>
    <w:link w:val="BalloonText"/>
    <w:uiPriority w:val="99"/>
    <w:semiHidden/>
    <w:rsid w:val="007235A9"/>
    <w:rPr>
      <w:rFonts w:ascii="Tahoma" w:hAnsi="Tahoma" w:cs="Tahoma"/>
      <w:sz w:val="16"/>
      <w:szCs w:val="16"/>
      <w:lang w:val="en-US"/>
    </w:rPr>
  </w:style>
  <w:style w:type="paragraph" w:customStyle="1" w:styleId="NoSpacing1">
    <w:name w:val="No Spacing1"/>
    <w:uiPriority w:val="1"/>
    <w:qFormat/>
    <w:rsid w:val="00CF2113"/>
    <w:pPr>
      <w:spacing w:after="0" w:line="240" w:lineRule="auto"/>
    </w:pPr>
    <w:rPr>
      <w:lang w:val="en-US"/>
    </w:rPr>
  </w:style>
  <w:style w:type="table" w:styleId="TableGrid">
    <w:name w:val="Table Grid"/>
    <w:basedOn w:val="TableNormal"/>
    <w:uiPriority w:val="39"/>
    <w:qFormat/>
    <w:rsid w:val="00CF2113"/>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qFormat/>
    <w:rsid w:val="00CF2113"/>
    <w:pPr>
      <w:spacing w:after="0" w:line="240" w:lineRule="auto"/>
    </w:pPr>
    <w:rPr>
      <w:rFonts w:ascii="Cambria" w:eastAsia="Cambria" w:hAnsi="Cambria" w:cs="Cambria"/>
      <w:color w:val="000000"/>
      <w:sz w:val="24"/>
      <w:szCs w:val="24"/>
      <w:u w:color="000000"/>
      <w:lang w:eastAsia="en-GB"/>
    </w:rPr>
  </w:style>
  <w:style w:type="paragraph" w:styleId="Footer">
    <w:name w:val="footer"/>
    <w:basedOn w:val="Normal"/>
    <w:link w:val="FooterChar"/>
    <w:uiPriority w:val="99"/>
    <w:unhideWhenUsed/>
    <w:rsid w:val="003C74A1"/>
    <w:pPr>
      <w:tabs>
        <w:tab w:val="center" w:pos="4680"/>
        <w:tab w:val="right" w:pos="9360"/>
      </w:tabs>
    </w:pPr>
  </w:style>
  <w:style w:type="character" w:customStyle="1" w:styleId="FooterChar">
    <w:name w:val="Footer Char"/>
    <w:basedOn w:val="DefaultParagraphFont"/>
    <w:link w:val="Footer"/>
    <w:uiPriority w:val="99"/>
    <w:rsid w:val="003C74A1"/>
    <w:rPr>
      <w:rFonts w:ascii="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06330"/>
    <w:rPr>
      <w:sz w:val="16"/>
      <w:szCs w:val="16"/>
    </w:rPr>
  </w:style>
  <w:style w:type="paragraph" w:styleId="CommentText">
    <w:name w:val="annotation text"/>
    <w:basedOn w:val="Normal"/>
    <w:link w:val="CommentTextChar"/>
    <w:uiPriority w:val="99"/>
    <w:semiHidden/>
    <w:unhideWhenUsed/>
    <w:rsid w:val="00906330"/>
    <w:rPr>
      <w:sz w:val="20"/>
      <w:szCs w:val="20"/>
    </w:rPr>
  </w:style>
  <w:style w:type="character" w:customStyle="1" w:styleId="CommentTextChar">
    <w:name w:val="Comment Text Char"/>
    <w:basedOn w:val="DefaultParagraphFont"/>
    <w:link w:val="CommentText"/>
    <w:uiPriority w:val="99"/>
    <w:semiHidden/>
    <w:rsid w:val="00906330"/>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06330"/>
    <w:rPr>
      <w:b/>
      <w:bCs/>
    </w:rPr>
  </w:style>
  <w:style w:type="character" w:customStyle="1" w:styleId="CommentSubjectChar">
    <w:name w:val="Comment Subject Char"/>
    <w:basedOn w:val="CommentTextChar"/>
    <w:link w:val="CommentSubject"/>
    <w:uiPriority w:val="99"/>
    <w:semiHidden/>
    <w:rsid w:val="00906330"/>
    <w:rPr>
      <w:rFonts w:ascii="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5684">
      <w:bodyDiv w:val="1"/>
      <w:marLeft w:val="0"/>
      <w:marRight w:val="0"/>
      <w:marTop w:val="0"/>
      <w:marBottom w:val="0"/>
      <w:divBdr>
        <w:top w:val="none" w:sz="0" w:space="0" w:color="auto"/>
        <w:left w:val="none" w:sz="0" w:space="0" w:color="auto"/>
        <w:bottom w:val="none" w:sz="0" w:space="0" w:color="auto"/>
        <w:right w:val="none" w:sz="0" w:space="0" w:color="auto"/>
      </w:divBdr>
    </w:div>
    <w:div w:id="1611203580">
      <w:bodyDiv w:val="1"/>
      <w:marLeft w:val="0"/>
      <w:marRight w:val="0"/>
      <w:marTop w:val="0"/>
      <w:marBottom w:val="0"/>
      <w:divBdr>
        <w:top w:val="none" w:sz="0" w:space="0" w:color="auto"/>
        <w:left w:val="none" w:sz="0" w:space="0" w:color="auto"/>
        <w:bottom w:val="none" w:sz="0" w:space="0" w:color="auto"/>
        <w:right w:val="none" w:sz="0" w:space="0" w:color="auto"/>
      </w:divBdr>
    </w:div>
    <w:div w:id="1773282660">
      <w:bodyDiv w:val="1"/>
      <w:marLeft w:val="0"/>
      <w:marRight w:val="0"/>
      <w:marTop w:val="0"/>
      <w:marBottom w:val="0"/>
      <w:divBdr>
        <w:top w:val="none" w:sz="0" w:space="0" w:color="auto"/>
        <w:left w:val="none" w:sz="0" w:space="0" w:color="auto"/>
        <w:bottom w:val="none" w:sz="0" w:space="0" w:color="auto"/>
        <w:right w:val="none" w:sz="0" w:space="0" w:color="auto"/>
      </w:divBdr>
    </w:div>
    <w:div w:id="179313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face.com"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sue.hinton@cofac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5B15A-AA3C-4CCE-8C35-59CCF0D1D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1266</Words>
  <Characters>7217</Characters>
  <Application>Microsoft Office Word</Application>
  <DocSecurity>4</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Coface</Company>
  <LinksUpToDate>false</LinksUpToDate>
  <CharactersWithSpaces>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Perspective Media LLC</dc:creator>
  <cp:lastModifiedBy>Sue Hinton</cp:lastModifiedBy>
  <cp:revision>2</cp:revision>
  <cp:lastPrinted>2017-05-12T11:26:00Z</cp:lastPrinted>
  <dcterms:created xsi:type="dcterms:W3CDTF">2017-05-17T19:37:00Z</dcterms:created>
  <dcterms:modified xsi:type="dcterms:W3CDTF">2017-05-17T19:37:00Z</dcterms:modified>
</cp:coreProperties>
</file>